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A6C8">
      <w:pPr>
        <w:widowControl/>
        <w:jc w:val="left"/>
        <w:outlineLvl w:val="1"/>
        <w:rPr>
          <w:rFonts w:ascii="宋体" w:hAnsi="宋体" w:eastAsia="宋体" w:cs="Arial"/>
          <w:kern w:val="0"/>
          <w:sz w:val="24"/>
          <w:szCs w:val="24"/>
        </w:rPr>
      </w:pPr>
      <w:r>
        <w:rPr>
          <w:rFonts w:ascii="宋体" w:hAnsi="宋体" w:eastAsia="宋体" w:cs="Arial"/>
          <w:kern w:val="0"/>
          <w:sz w:val="24"/>
          <w:szCs w:val="24"/>
        </w:rPr>
        <w:t>中文名称：二氯甲烷</w:t>
      </w:r>
    </w:p>
    <w:p w14:paraId="114A3291">
      <w:pPr>
        <w:widowControl/>
        <w:jc w:val="left"/>
        <w:outlineLvl w:val="1"/>
        <w:rPr>
          <w:rFonts w:ascii="宋体" w:hAnsi="宋体" w:eastAsia="宋体" w:cs="Arial"/>
          <w:color w:val="333333"/>
          <w:kern w:val="0"/>
          <w:sz w:val="24"/>
          <w:szCs w:val="24"/>
        </w:rPr>
      </w:pPr>
      <w:r>
        <w:rPr>
          <w:rFonts w:ascii="宋体" w:hAnsi="宋体" w:eastAsia="宋体" w:cs="Arial"/>
          <w:kern w:val="0"/>
          <w:sz w:val="24"/>
          <w:szCs w:val="24"/>
        </w:rPr>
        <w:t>英文名称：Dichloromethane</w:t>
      </w:r>
    </w:p>
    <w:p w14:paraId="66F50EC7">
      <w:pPr>
        <w:widowControl/>
        <w:numPr>
          <w:ilvl w:val="0"/>
          <w:numId w:val="1"/>
        </w:numPr>
        <w:ind w:left="0"/>
        <w:jc w:val="left"/>
        <w:rPr>
          <w:rFonts w:ascii="Arial" w:hAnsi="Arial" w:eastAsia="宋体" w:cs="Arial"/>
          <w:color w:val="333333"/>
          <w:kern w:val="0"/>
          <w:sz w:val="24"/>
          <w:szCs w:val="24"/>
        </w:rPr>
      </w:pPr>
      <w:r>
        <w:rPr>
          <w:rFonts w:ascii="Arial" w:hAnsi="Arial" w:eastAsia="宋体" w:cs="Arial"/>
          <w:color w:val="333333"/>
          <w:kern w:val="0"/>
          <w:sz w:val="24"/>
          <w:szCs w:val="24"/>
        </w:rPr>
        <w:t>CAS：75-09-2 </w:t>
      </w:r>
    </w:p>
    <w:p w14:paraId="11D632CA">
      <w:pPr>
        <w:widowControl/>
        <w:numPr>
          <w:ilvl w:val="0"/>
          <w:numId w:val="1"/>
        </w:numPr>
        <w:ind w:left="0"/>
        <w:jc w:val="left"/>
        <w:rPr>
          <w:rFonts w:ascii="Arial" w:hAnsi="Arial" w:eastAsia="宋体" w:cs="Arial"/>
          <w:color w:val="333333"/>
          <w:kern w:val="0"/>
          <w:sz w:val="24"/>
          <w:szCs w:val="24"/>
        </w:rPr>
      </w:pPr>
      <w:r>
        <w:rPr>
          <w:rFonts w:ascii="Arial" w:hAnsi="Arial" w:eastAsia="宋体" w:cs="Arial"/>
          <w:color w:val="333333"/>
          <w:kern w:val="0"/>
          <w:sz w:val="24"/>
          <w:szCs w:val="24"/>
        </w:rPr>
        <w:t>CBNumber：CB7740372</w:t>
      </w:r>
    </w:p>
    <w:p w14:paraId="76507235">
      <w:pPr>
        <w:widowControl/>
        <w:numPr>
          <w:ilvl w:val="0"/>
          <w:numId w:val="1"/>
        </w:numPr>
        <w:ind w:left="0"/>
        <w:jc w:val="left"/>
        <w:rPr>
          <w:rFonts w:ascii="Arial" w:hAnsi="Arial" w:eastAsia="宋体" w:cs="Arial"/>
          <w:color w:val="333333"/>
          <w:kern w:val="0"/>
          <w:sz w:val="24"/>
          <w:szCs w:val="24"/>
        </w:rPr>
      </w:pPr>
      <w:r>
        <w:rPr>
          <w:rFonts w:ascii="Arial" w:hAnsi="Arial" w:eastAsia="宋体" w:cs="Arial"/>
          <w:color w:val="333333"/>
          <w:kern w:val="0"/>
          <w:sz w:val="24"/>
          <w:szCs w:val="24"/>
        </w:rPr>
        <w:t>MF：CH2Cl2</w:t>
      </w:r>
    </w:p>
    <w:p w14:paraId="29D2591A">
      <w:pPr>
        <w:widowControl/>
        <w:numPr>
          <w:ilvl w:val="0"/>
          <w:numId w:val="1"/>
        </w:numPr>
        <w:ind w:left="0"/>
        <w:jc w:val="left"/>
        <w:rPr>
          <w:rFonts w:ascii="Arial" w:hAnsi="Arial" w:eastAsia="宋体" w:cs="Arial"/>
          <w:color w:val="333333"/>
          <w:kern w:val="0"/>
          <w:sz w:val="24"/>
          <w:szCs w:val="24"/>
        </w:rPr>
      </w:pPr>
      <w:r>
        <w:rPr>
          <w:rFonts w:ascii="Arial" w:hAnsi="Arial" w:eastAsia="宋体" w:cs="Arial"/>
          <w:color w:val="333333"/>
          <w:kern w:val="0"/>
          <w:sz w:val="24"/>
          <w:szCs w:val="24"/>
        </w:rPr>
        <w:t>MW：84.93</w:t>
      </w:r>
    </w:p>
    <w:p w14:paraId="60DF2B41">
      <w:pPr>
        <w:widowControl/>
        <w:numPr>
          <w:ilvl w:val="0"/>
          <w:numId w:val="0"/>
        </w:numPr>
        <w:ind w:left="-360" w:leftChars="0"/>
        <w:jc w:val="left"/>
        <w:rPr>
          <w:rFonts w:ascii="Arial" w:hAnsi="Arial" w:eastAsia="宋体" w:cs="Arial"/>
          <w:color w:val="333333"/>
          <w:kern w:val="0"/>
          <w:sz w:val="24"/>
          <w:szCs w:val="24"/>
        </w:rPr>
      </w:pPr>
    </w:p>
    <w:p w14:paraId="6FEC3179">
      <w:pPr>
        <w:rPr>
          <w:rFonts w:hint="eastAsia"/>
          <w:sz w:val="28"/>
          <w:szCs w:val="32"/>
          <w:lang w:val="en-US" w:eastAsia="zh-CN"/>
        </w:rPr>
      </w:pPr>
      <w:r>
        <w:rPr>
          <w:rFonts w:hint="eastAsia"/>
          <w:lang w:val="en-US" w:eastAsia="zh-CN"/>
        </w:rPr>
        <w:t xml:space="preserve"> </w:t>
      </w:r>
      <w:r>
        <w:rPr>
          <w:rFonts w:hint="eastAsia"/>
          <w:sz w:val="28"/>
          <w:szCs w:val="32"/>
          <w:lang w:val="en-US" w:eastAsia="zh-CN"/>
        </w:rPr>
        <w:t xml:space="preserve">     湖北华丹医药科技股份有限公司为二氯甲烷使用企业，2023年年使用量为5.19吨，二氯甲烷是我公司生产《托吡卡胺》中使用的原辅料。</w:t>
      </w:r>
    </w:p>
    <w:p w14:paraId="1D90888A">
      <w:pPr>
        <w:rPr>
          <w:rFonts w:hint="default" w:eastAsiaTheme="minorEastAsia"/>
          <w:lang w:val="en-US" w:eastAsia="zh-CN"/>
        </w:rPr>
      </w:pPr>
      <w:bookmarkStart w:id="0" w:name="_GoBack"/>
      <w:bookmarkEnd w:id="0"/>
    </w:p>
    <w:p w14:paraId="316A22D3">
      <w:pPr>
        <w:widowControl/>
        <w:numPr>
          <w:ilvl w:val="0"/>
          <w:numId w:val="0"/>
        </w:numPr>
        <w:ind w:left="-360" w:leftChars="0"/>
        <w:jc w:val="left"/>
        <w:rPr>
          <w:rFonts w:hint="eastAsia" w:ascii="Arial" w:hAnsi="Arial" w:eastAsia="宋体" w:cs="Arial"/>
          <w:color w:val="333333"/>
          <w:kern w:val="0"/>
          <w:sz w:val="24"/>
          <w:szCs w:val="24"/>
          <w:lang w:eastAsia="zh-CN"/>
        </w:rPr>
      </w:pPr>
    </w:p>
    <w:p w14:paraId="3EFB40DD">
      <w:pPr>
        <w:widowControl/>
        <w:numPr>
          <w:ilvl w:val="0"/>
          <w:numId w:val="0"/>
        </w:numPr>
        <w:ind w:left="-360" w:leftChars="0"/>
        <w:jc w:val="left"/>
        <w:rPr>
          <w:rFonts w:ascii="Arial" w:hAnsi="Arial" w:eastAsia="宋体" w:cs="Arial"/>
          <w:color w:val="333333"/>
          <w:kern w:val="0"/>
          <w:sz w:val="24"/>
          <w:szCs w:val="24"/>
        </w:rPr>
      </w:pPr>
    </w:p>
    <w:p w14:paraId="2761855D">
      <w:pPr>
        <w:widowControl/>
        <w:numPr>
          <w:ilvl w:val="0"/>
          <w:numId w:val="0"/>
        </w:numPr>
        <w:ind w:left="-360" w:leftChars="0"/>
        <w:jc w:val="left"/>
        <w:rPr>
          <w:rFonts w:ascii="Arial" w:hAnsi="Arial" w:eastAsia="宋体" w:cs="Arial"/>
          <w:color w:val="333333"/>
          <w:kern w:val="0"/>
          <w:sz w:val="24"/>
          <w:szCs w:val="24"/>
        </w:rPr>
      </w:pPr>
    </w:p>
    <w:p w14:paraId="10D6A112">
      <w:pPr>
        <w:widowControl/>
        <w:jc w:val="center"/>
        <w:rPr>
          <w:rFonts w:ascii="Arial" w:hAnsi="Arial" w:eastAsia="宋体" w:cs="Arial"/>
          <w:color w:val="333333"/>
          <w:kern w:val="0"/>
          <w:sz w:val="18"/>
          <w:szCs w:val="18"/>
        </w:rPr>
      </w:pPr>
      <w:r>
        <w:drawing>
          <wp:inline distT="0" distB="0" distL="0" distR="0">
            <wp:extent cx="860425" cy="316865"/>
            <wp:effectExtent l="19050" t="0" r="0" b="0"/>
            <wp:docPr id="3" name="图片 3" descr="http://www.chemicalbook.com/CAS/GIF/75-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hemicalbook.com/CAS/GIF/75-09-2.gif"/>
                    <pic:cNvPicPr>
                      <a:picLocks noChangeAspect="1" noChangeArrowheads="1"/>
                    </pic:cNvPicPr>
                  </pic:nvPicPr>
                  <pic:blipFill>
                    <a:blip r:embed="rId4" cstate="print"/>
                    <a:srcRect/>
                    <a:stretch>
                      <a:fillRect/>
                    </a:stretch>
                  </pic:blipFill>
                  <pic:spPr>
                    <a:xfrm>
                      <a:off x="0" y="0"/>
                      <a:ext cx="864892" cy="318387"/>
                    </a:xfrm>
                    <a:prstGeom prst="rect">
                      <a:avLst/>
                    </a:prstGeom>
                    <a:noFill/>
                    <a:ln w="9525">
                      <a:noFill/>
                      <a:miter lim="800000"/>
                      <a:headEnd/>
                      <a:tailEnd/>
                    </a:ln>
                  </pic:spPr>
                </pic:pic>
              </a:graphicData>
            </a:graphic>
          </wp:inline>
        </w:drawing>
      </w:r>
    </w:p>
    <w:p w14:paraId="117D9175">
      <w:pPr>
        <w:widowControl/>
        <w:spacing w:before="100" w:beforeAutospacing="1" w:after="100" w:afterAutospacing="1"/>
        <w:jc w:val="center"/>
        <w:outlineLvl w:val="0"/>
        <w:rPr>
          <w:rFonts w:ascii="宋体" w:hAnsi="宋体" w:eastAsia="宋体" w:cs="宋体"/>
          <w:b/>
          <w:bCs/>
          <w:kern w:val="36"/>
          <w:sz w:val="38"/>
          <w:szCs w:val="38"/>
        </w:rPr>
      </w:pPr>
      <w:r>
        <w:rPr>
          <w:rFonts w:hint="eastAsia" w:ascii="宋体" w:hAnsi="宋体" w:eastAsia="宋体" w:cs="宋体"/>
          <w:b/>
          <w:bCs/>
          <w:kern w:val="36"/>
          <w:sz w:val="38"/>
          <w:szCs w:val="38"/>
        </w:rPr>
        <w:t>二氯甲烷</w:t>
      </w:r>
      <w:r>
        <w:rPr>
          <w:rFonts w:ascii="宋体" w:hAnsi="宋体" w:eastAsia="宋体" w:cs="宋体"/>
          <w:b/>
          <w:bCs/>
          <w:kern w:val="36"/>
          <w:sz w:val="38"/>
          <w:szCs w:val="38"/>
        </w:rPr>
        <w:t>化学品安全技术说明书</w:t>
      </w:r>
    </w:p>
    <w:tbl>
      <w:tblPr>
        <w:tblStyle w:val="12"/>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126"/>
        <w:gridCol w:w="4111"/>
      </w:tblGrid>
      <w:tr w14:paraId="2B60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26" w:type="dxa"/>
          </w:tcPr>
          <w:p w14:paraId="41B65D97">
            <w:pPr>
              <w:widowControl/>
              <w:jc w:val="left"/>
              <w:rPr>
                <w:rFonts w:ascii="宋体" w:hAnsi="宋体" w:eastAsia="宋体" w:cs="宋体"/>
                <w:kern w:val="0"/>
                <w:sz w:val="24"/>
                <w:szCs w:val="24"/>
              </w:rPr>
            </w:pPr>
            <w:r>
              <w:rPr>
                <w:rFonts w:ascii="宋体" w:hAnsi="宋体" w:eastAsia="宋体" w:cs="宋体"/>
                <w:kern w:val="0"/>
                <w:sz w:val="24"/>
                <w:szCs w:val="24"/>
              </w:rPr>
              <w:t>产品名称: 二氯甲烷</w:t>
            </w:r>
          </w:p>
        </w:tc>
        <w:tc>
          <w:tcPr>
            <w:tcW w:w="4111" w:type="dxa"/>
          </w:tcPr>
          <w:p w14:paraId="7D6A08CC">
            <w:pPr>
              <w:widowControl/>
              <w:jc w:val="left"/>
              <w:rPr>
                <w:rFonts w:ascii="宋体" w:hAnsi="宋体" w:eastAsia="宋体" w:cs="宋体"/>
                <w:kern w:val="0"/>
                <w:sz w:val="24"/>
                <w:szCs w:val="24"/>
              </w:rPr>
            </w:pPr>
            <w:r>
              <w:rPr>
                <w:rFonts w:ascii="宋体" w:hAnsi="宋体" w:eastAsia="宋体" w:cs="宋体"/>
                <w:kern w:val="0"/>
                <w:sz w:val="24"/>
                <w:szCs w:val="24"/>
              </w:rPr>
              <w:t>按照GB/T 16483、GB/T 17519 编制</w:t>
            </w:r>
          </w:p>
        </w:tc>
      </w:tr>
      <w:tr w14:paraId="58E6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26" w:type="dxa"/>
          </w:tcPr>
          <w:p w14:paraId="0FB462E4">
            <w:pPr>
              <w:widowControl/>
              <w:jc w:val="left"/>
              <w:rPr>
                <w:rFonts w:ascii="宋体" w:hAnsi="宋体" w:eastAsia="宋体" w:cs="宋体"/>
                <w:kern w:val="0"/>
                <w:sz w:val="24"/>
                <w:szCs w:val="24"/>
              </w:rPr>
            </w:pPr>
            <w:r>
              <w:rPr>
                <w:rFonts w:ascii="宋体" w:hAnsi="宋体" w:eastAsia="宋体" w:cs="宋体"/>
                <w:kern w:val="0"/>
                <w:sz w:val="24"/>
                <w:szCs w:val="24"/>
              </w:rPr>
              <w:t>修订日期: 2019年7月15日 版本: 1.0</w:t>
            </w:r>
          </w:p>
        </w:tc>
        <w:tc>
          <w:tcPr>
            <w:tcW w:w="4111" w:type="dxa"/>
          </w:tcPr>
          <w:p w14:paraId="1DDF8DFD">
            <w:pPr>
              <w:widowControl/>
              <w:jc w:val="left"/>
              <w:rPr>
                <w:rFonts w:ascii="宋体" w:hAnsi="宋体" w:eastAsia="宋体" w:cs="宋体"/>
                <w:kern w:val="0"/>
                <w:sz w:val="24"/>
                <w:szCs w:val="24"/>
              </w:rPr>
            </w:pPr>
            <w:r>
              <w:rPr>
                <w:rFonts w:ascii="宋体" w:hAnsi="宋体" w:eastAsia="宋体" w:cs="宋体"/>
                <w:kern w:val="0"/>
                <w:sz w:val="24"/>
                <w:szCs w:val="24"/>
              </w:rPr>
              <w:t>最初编制日期: 2019年7月15日</w:t>
            </w:r>
          </w:p>
        </w:tc>
      </w:tr>
    </w:tbl>
    <w:p w14:paraId="57F59C86">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第1部分 化学品及企业标识</w:t>
      </w:r>
    </w:p>
    <w:p w14:paraId="66D04529">
      <w:pPr>
        <w:widowControl/>
        <w:jc w:val="left"/>
        <w:rPr>
          <w:rFonts w:ascii="宋体" w:hAnsi="宋体" w:eastAsia="宋体" w:cs="宋体"/>
          <w:kern w:val="0"/>
          <w:sz w:val="24"/>
          <w:szCs w:val="24"/>
        </w:rPr>
      </w:pPr>
      <w:r>
        <w:rPr>
          <w:rFonts w:ascii="宋体" w:hAnsi="宋体" w:eastAsia="宋体" w:cs="宋体"/>
          <w:b/>
          <w:bCs/>
          <w:kern w:val="0"/>
          <w:szCs w:val="21"/>
        </w:rPr>
        <w:t>化学品中文名：</w:t>
      </w:r>
      <w:r>
        <w:rPr>
          <w:rFonts w:ascii="宋体" w:hAnsi="宋体" w:eastAsia="宋体" w:cs="宋体"/>
          <w:kern w:val="0"/>
          <w:sz w:val="24"/>
          <w:szCs w:val="24"/>
        </w:rPr>
        <w:t> 二氯甲烷</w:t>
      </w:r>
    </w:p>
    <w:p w14:paraId="4769B935">
      <w:pPr>
        <w:widowControl/>
        <w:jc w:val="left"/>
        <w:rPr>
          <w:rFonts w:ascii="宋体" w:hAnsi="宋体" w:eastAsia="宋体" w:cs="宋体"/>
          <w:kern w:val="0"/>
          <w:sz w:val="24"/>
          <w:szCs w:val="24"/>
        </w:rPr>
      </w:pPr>
      <w:r>
        <w:rPr>
          <w:rFonts w:ascii="宋体" w:hAnsi="宋体" w:eastAsia="宋体" w:cs="宋体"/>
          <w:b/>
          <w:bCs/>
          <w:kern w:val="0"/>
          <w:szCs w:val="21"/>
        </w:rPr>
        <w:t>化学品</w:t>
      </w:r>
      <w:r>
        <w:rPr>
          <w:rFonts w:hint="eastAsia" w:ascii="宋体" w:hAnsi="宋体" w:eastAsia="宋体" w:cs="宋体"/>
          <w:b/>
          <w:bCs/>
          <w:kern w:val="0"/>
          <w:szCs w:val="21"/>
        </w:rPr>
        <w:t>英</w:t>
      </w:r>
      <w:r>
        <w:rPr>
          <w:rFonts w:ascii="宋体" w:hAnsi="宋体" w:eastAsia="宋体" w:cs="宋体"/>
          <w:b/>
          <w:bCs/>
          <w:kern w:val="0"/>
          <w:szCs w:val="21"/>
        </w:rPr>
        <w:t>文名</w:t>
      </w:r>
      <w:r>
        <w:rPr>
          <w:rFonts w:hint="eastAsia" w:ascii="宋体" w:hAnsi="宋体" w:eastAsia="宋体" w:cs="宋体"/>
          <w:b/>
          <w:bCs/>
          <w:kern w:val="0"/>
          <w:szCs w:val="21"/>
        </w:rPr>
        <w:t>：</w:t>
      </w:r>
      <w:r>
        <w:rPr>
          <w:rFonts w:hint="eastAsia" w:ascii="宋体" w:hAnsi="宋体" w:eastAsia="宋体" w:cs="宋体"/>
          <w:b/>
          <w:bCs/>
          <w:kern w:val="0"/>
          <w:sz w:val="24"/>
          <w:szCs w:val="24"/>
        </w:rPr>
        <w:t xml:space="preserve"> </w:t>
      </w:r>
      <w:r>
        <w:rPr>
          <w:rFonts w:ascii="宋体" w:hAnsi="宋体" w:eastAsia="宋体" w:cs="Arial"/>
          <w:kern w:val="0"/>
          <w:sz w:val="24"/>
          <w:szCs w:val="24"/>
        </w:rPr>
        <w:t>Dichloromethane</w:t>
      </w:r>
    </w:p>
    <w:p w14:paraId="4F3041CD">
      <w:pPr>
        <w:widowControl/>
        <w:jc w:val="left"/>
        <w:rPr>
          <w:rFonts w:ascii="宋体" w:hAnsi="宋体" w:eastAsia="宋体"/>
        </w:rPr>
      </w:pPr>
      <w:r>
        <w:rPr>
          <w:rFonts w:ascii="宋体" w:hAnsi="宋体" w:eastAsia="宋体" w:cs="宋体"/>
          <w:b/>
          <w:bCs/>
          <w:kern w:val="0"/>
          <w:szCs w:val="21"/>
        </w:rPr>
        <w:t>企业名称：</w:t>
      </w:r>
      <w:r>
        <w:rPr>
          <w:rFonts w:ascii="宋体" w:hAnsi="宋体" w:eastAsia="宋体" w:cs="宋体"/>
          <w:kern w:val="0"/>
          <w:sz w:val="24"/>
          <w:szCs w:val="24"/>
        </w:rPr>
        <w:t> </w:t>
      </w:r>
      <w:r>
        <w:rPr>
          <w:rFonts w:hint="eastAsia" w:ascii="宋体" w:hAnsi="宋体" w:eastAsia="宋体" w:cs="宋体"/>
          <w:kern w:val="0"/>
          <w:sz w:val="24"/>
          <w:szCs w:val="24"/>
        </w:rPr>
        <w:t>聊城鲁西氯甲烷化工有限公司</w:t>
      </w:r>
    </w:p>
    <w:p w14:paraId="7C3DD752">
      <w:pPr>
        <w:widowControl/>
        <w:jc w:val="left"/>
        <w:rPr>
          <w:rFonts w:ascii="宋体" w:hAnsi="宋体" w:eastAsia="宋体"/>
        </w:rPr>
      </w:pPr>
      <w:r>
        <w:rPr>
          <w:rFonts w:ascii="宋体" w:hAnsi="宋体" w:eastAsia="宋体" w:cs="宋体"/>
          <w:b/>
          <w:bCs/>
          <w:kern w:val="0"/>
          <w:szCs w:val="21"/>
        </w:rPr>
        <w:t>企业地址：</w:t>
      </w:r>
      <w:r>
        <w:rPr>
          <w:rFonts w:ascii="宋体" w:hAnsi="宋体" w:eastAsia="宋体" w:cs="宋体"/>
          <w:kern w:val="0"/>
          <w:sz w:val="24"/>
          <w:szCs w:val="24"/>
        </w:rPr>
        <w:t> </w:t>
      </w:r>
      <w:r>
        <w:rPr>
          <w:rFonts w:hint="eastAsia" w:ascii="宋体" w:hAnsi="宋体" w:eastAsia="宋体" w:cs="宋体"/>
          <w:kern w:val="0"/>
          <w:sz w:val="24"/>
          <w:szCs w:val="24"/>
        </w:rPr>
        <w:t>聊城高新技术产业开发区鲁西工业园</w:t>
      </w:r>
    </w:p>
    <w:p w14:paraId="3FFC9508">
      <w:pPr>
        <w:widowControl/>
        <w:jc w:val="left"/>
        <w:rPr>
          <w:rFonts w:ascii="宋体" w:hAnsi="宋体" w:eastAsia="宋体" w:cs="宋体"/>
          <w:kern w:val="0"/>
          <w:sz w:val="24"/>
          <w:szCs w:val="24"/>
        </w:rPr>
      </w:pPr>
      <w:r>
        <w:rPr>
          <w:rFonts w:ascii="宋体" w:hAnsi="宋体" w:eastAsia="宋体" w:cs="宋体"/>
          <w:b/>
          <w:bCs/>
          <w:kern w:val="0"/>
          <w:szCs w:val="21"/>
        </w:rPr>
        <w:t>产品推荐及限制用途：</w:t>
      </w:r>
      <w:r>
        <w:rPr>
          <w:rFonts w:ascii="宋体" w:hAnsi="宋体" w:eastAsia="宋体" w:cs="宋体"/>
          <w:kern w:val="0"/>
          <w:sz w:val="24"/>
          <w:szCs w:val="24"/>
        </w:rPr>
        <w:t> 工业及科研用途。</w:t>
      </w:r>
    </w:p>
    <w:p w14:paraId="34F6E18E">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第2部分 危险性概述</w:t>
      </w:r>
    </w:p>
    <w:p w14:paraId="6DF31E6E">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紧急情况概述：</w:t>
      </w:r>
    </w:p>
    <w:p w14:paraId="67858DBA">
      <w:pPr>
        <w:widowControl/>
        <w:jc w:val="left"/>
        <w:rPr>
          <w:rFonts w:ascii="宋体" w:hAnsi="宋体" w:eastAsia="宋体" w:cs="宋体"/>
          <w:kern w:val="0"/>
          <w:sz w:val="24"/>
          <w:szCs w:val="24"/>
        </w:rPr>
      </w:pPr>
      <w:r>
        <w:rPr>
          <w:rFonts w:ascii="宋体" w:hAnsi="宋体" w:eastAsia="宋体" w:cs="宋体"/>
          <w:kern w:val="0"/>
          <w:sz w:val="24"/>
          <w:szCs w:val="24"/>
        </w:rPr>
        <w:t>怀疑会致癌。</w:t>
      </w:r>
    </w:p>
    <w:p w14:paraId="0F2F9459">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GHS危险性类别：</w:t>
      </w:r>
    </w:p>
    <w:p w14:paraId="01FB299E">
      <w:pPr>
        <w:widowControl/>
        <w:jc w:val="left"/>
        <w:rPr>
          <w:rFonts w:ascii="宋体" w:hAnsi="宋体" w:eastAsia="宋体" w:cs="宋体"/>
          <w:kern w:val="0"/>
          <w:sz w:val="24"/>
          <w:szCs w:val="24"/>
        </w:rPr>
      </w:pPr>
      <w:r>
        <w:rPr>
          <w:rFonts w:ascii="宋体" w:hAnsi="宋体" w:eastAsia="宋体" w:cs="宋体"/>
          <w:kern w:val="0"/>
          <w:sz w:val="24"/>
          <w:szCs w:val="24"/>
        </w:rPr>
        <w:t>致癌性 类别 2</w:t>
      </w:r>
    </w:p>
    <w:p w14:paraId="443B69D9">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标签要素：</w:t>
      </w:r>
    </w:p>
    <w:p w14:paraId="52E894DB">
      <w:pPr>
        <w:widowControl/>
        <w:jc w:val="left"/>
        <w:rPr>
          <w:rFonts w:ascii="宋体" w:hAnsi="宋体" w:eastAsia="宋体" w:cs="宋体"/>
          <w:kern w:val="0"/>
          <w:sz w:val="24"/>
          <w:szCs w:val="24"/>
        </w:rPr>
      </w:pPr>
      <w:r>
        <w:rPr>
          <w:rFonts w:ascii="宋体" w:hAnsi="宋体" w:eastAsia="宋体" w:cs="宋体"/>
          <w:b/>
          <w:bCs/>
          <w:kern w:val="0"/>
          <w:sz w:val="19"/>
        </w:rPr>
        <w:t>象形图：</w:t>
      </w:r>
      <w:r>
        <w:rPr>
          <w:rFonts w:ascii="宋体" w:hAnsi="宋体" w:eastAsia="宋体" w:cs="宋体"/>
          <w:kern w:val="0"/>
          <w:sz w:val="24"/>
          <w:szCs w:val="24"/>
        </w:rPr>
        <w:t> </w:t>
      </w:r>
      <w:r>
        <w:rPr>
          <w:rFonts w:ascii="宋体" w:hAnsi="宋体" w:eastAsia="宋体" w:cs="宋体"/>
          <w:kern w:val="0"/>
          <w:sz w:val="24"/>
          <w:szCs w:val="24"/>
        </w:rPr>
        <w:drawing>
          <wp:inline distT="0" distB="0" distL="0" distR="0">
            <wp:extent cx="862330" cy="862330"/>
            <wp:effectExtent l="19050" t="0" r="0" b="0"/>
            <wp:docPr id="1" name="图片 1" descr="https://xixisys-api.s3.cn-north-1.amazonaws.com.cn/img/gh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xixisys-api.s3.cn-north-1.amazonaws.com.cn/img/ghs08.png"/>
                    <pic:cNvPicPr>
                      <a:picLocks noChangeAspect="1" noChangeArrowheads="1"/>
                    </pic:cNvPicPr>
                  </pic:nvPicPr>
                  <pic:blipFill>
                    <a:blip r:embed="rId5" cstate="print"/>
                    <a:srcRect/>
                    <a:stretch>
                      <a:fillRect/>
                    </a:stretch>
                  </pic:blipFill>
                  <pic:spPr>
                    <a:xfrm>
                      <a:off x="0" y="0"/>
                      <a:ext cx="862330" cy="862330"/>
                    </a:xfrm>
                    <a:prstGeom prst="rect">
                      <a:avLst/>
                    </a:prstGeom>
                    <a:noFill/>
                    <a:ln w="9525">
                      <a:noFill/>
                      <a:miter lim="800000"/>
                      <a:headEnd/>
                      <a:tailEnd/>
                    </a:ln>
                  </pic:spPr>
                </pic:pic>
              </a:graphicData>
            </a:graphic>
          </wp:inline>
        </w:drawing>
      </w:r>
    </w:p>
    <w:p w14:paraId="105CC216">
      <w:pPr>
        <w:widowControl/>
        <w:jc w:val="left"/>
        <w:rPr>
          <w:rFonts w:ascii="宋体" w:hAnsi="宋体" w:eastAsia="宋体" w:cs="宋体"/>
          <w:kern w:val="0"/>
          <w:sz w:val="24"/>
          <w:szCs w:val="24"/>
        </w:rPr>
      </w:pPr>
      <w:r>
        <w:rPr>
          <w:rFonts w:ascii="宋体" w:hAnsi="宋体" w:eastAsia="宋体" w:cs="宋体"/>
          <w:b/>
          <w:bCs/>
          <w:kern w:val="0"/>
          <w:sz w:val="19"/>
        </w:rPr>
        <w:t>警示词：</w:t>
      </w:r>
      <w:r>
        <w:rPr>
          <w:rFonts w:ascii="宋体" w:hAnsi="宋体" w:eastAsia="宋体" w:cs="宋体"/>
          <w:kern w:val="0"/>
          <w:sz w:val="24"/>
          <w:szCs w:val="24"/>
        </w:rPr>
        <w:t> 警告</w:t>
      </w:r>
    </w:p>
    <w:p w14:paraId="1235AF8A">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危险性说明：</w:t>
      </w:r>
    </w:p>
    <w:p w14:paraId="4CAA3F10">
      <w:pPr>
        <w:widowControl/>
        <w:jc w:val="left"/>
        <w:rPr>
          <w:rFonts w:ascii="宋体" w:hAnsi="宋体" w:eastAsia="宋体" w:cs="宋体"/>
          <w:kern w:val="0"/>
          <w:sz w:val="24"/>
          <w:szCs w:val="24"/>
        </w:rPr>
      </w:pPr>
      <w:r>
        <w:rPr>
          <w:rFonts w:ascii="宋体" w:hAnsi="宋体" w:eastAsia="宋体" w:cs="宋体"/>
          <w:kern w:val="0"/>
          <w:sz w:val="24"/>
          <w:szCs w:val="24"/>
        </w:rPr>
        <w:t>H351 怀疑会致癌</w:t>
      </w:r>
    </w:p>
    <w:p w14:paraId="6CEA876F">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防范说明：</w:t>
      </w:r>
    </w:p>
    <w:p w14:paraId="7BE0A868">
      <w:pPr>
        <w:widowControl/>
        <w:numPr>
          <w:ilvl w:val="0"/>
          <w:numId w:val="2"/>
        </w:numPr>
        <w:ind w:left="408"/>
        <w:jc w:val="left"/>
        <w:outlineLvl w:val="4"/>
        <w:rPr>
          <w:rFonts w:ascii="宋体" w:hAnsi="宋体" w:eastAsia="宋体" w:cs="宋体"/>
          <w:b/>
          <w:bCs/>
          <w:kern w:val="0"/>
          <w:sz w:val="19"/>
          <w:szCs w:val="19"/>
        </w:rPr>
      </w:pPr>
      <w:r>
        <w:rPr>
          <w:rFonts w:ascii="宋体" w:hAnsi="宋体" w:eastAsia="宋体" w:cs="宋体"/>
          <w:b/>
          <w:bCs/>
          <w:kern w:val="0"/>
          <w:sz w:val="19"/>
          <w:szCs w:val="19"/>
        </w:rPr>
        <w:t>预防措施：</w:t>
      </w:r>
    </w:p>
    <w:p w14:paraId="17A7A142">
      <w:pPr>
        <w:widowControl/>
        <w:jc w:val="left"/>
        <w:rPr>
          <w:rFonts w:ascii="宋体" w:hAnsi="宋体" w:eastAsia="宋体" w:cs="宋体"/>
          <w:kern w:val="0"/>
          <w:sz w:val="24"/>
          <w:szCs w:val="24"/>
        </w:rPr>
      </w:pPr>
      <w:r>
        <w:rPr>
          <w:rFonts w:ascii="宋体" w:hAnsi="宋体" w:eastAsia="宋体" w:cs="宋体"/>
          <w:kern w:val="0"/>
          <w:sz w:val="24"/>
          <w:szCs w:val="24"/>
        </w:rPr>
        <w:t>—— P201 使用前取得专用说明。</w:t>
      </w:r>
    </w:p>
    <w:p w14:paraId="1D0120F9">
      <w:pPr>
        <w:widowControl/>
        <w:jc w:val="left"/>
        <w:rPr>
          <w:rFonts w:ascii="宋体" w:hAnsi="宋体" w:eastAsia="宋体" w:cs="宋体"/>
          <w:kern w:val="0"/>
          <w:sz w:val="24"/>
          <w:szCs w:val="24"/>
        </w:rPr>
      </w:pPr>
      <w:r>
        <w:rPr>
          <w:rFonts w:ascii="宋体" w:hAnsi="宋体" w:eastAsia="宋体" w:cs="宋体"/>
          <w:kern w:val="0"/>
          <w:sz w:val="24"/>
          <w:szCs w:val="24"/>
        </w:rPr>
        <w:t>—— P202 在阅读并明了所有安全措施 前切勿搬动。</w:t>
      </w:r>
    </w:p>
    <w:p w14:paraId="7B4AF27B">
      <w:pPr>
        <w:widowControl/>
        <w:jc w:val="left"/>
        <w:rPr>
          <w:rFonts w:ascii="宋体" w:hAnsi="宋体" w:eastAsia="宋体" w:cs="宋体"/>
          <w:kern w:val="0"/>
          <w:sz w:val="24"/>
          <w:szCs w:val="24"/>
        </w:rPr>
      </w:pPr>
      <w:r>
        <w:rPr>
          <w:rFonts w:ascii="宋体" w:hAnsi="宋体" w:eastAsia="宋体" w:cs="宋体"/>
          <w:kern w:val="0"/>
          <w:sz w:val="24"/>
          <w:szCs w:val="24"/>
        </w:rPr>
        <w:t>—— P280 戴防护手套/穿防护服/戴防 护眼罩/戴防护面具。</w:t>
      </w:r>
    </w:p>
    <w:p w14:paraId="2AFB0143">
      <w:pPr>
        <w:widowControl/>
        <w:numPr>
          <w:ilvl w:val="0"/>
          <w:numId w:val="2"/>
        </w:numPr>
        <w:ind w:left="408"/>
        <w:jc w:val="left"/>
        <w:outlineLvl w:val="4"/>
        <w:rPr>
          <w:rFonts w:ascii="宋体" w:hAnsi="宋体" w:eastAsia="宋体" w:cs="宋体"/>
          <w:b/>
          <w:bCs/>
          <w:kern w:val="0"/>
          <w:sz w:val="19"/>
          <w:szCs w:val="19"/>
        </w:rPr>
      </w:pPr>
      <w:r>
        <w:rPr>
          <w:rFonts w:ascii="宋体" w:hAnsi="宋体" w:eastAsia="宋体" w:cs="宋体"/>
          <w:b/>
          <w:bCs/>
          <w:kern w:val="0"/>
          <w:sz w:val="19"/>
          <w:szCs w:val="19"/>
        </w:rPr>
        <w:t>事故响应：</w:t>
      </w:r>
    </w:p>
    <w:p w14:paraId="2DB91658">
      <w:pPr>
        <w:widowControl/>
        <w:jc w:val="left"/>
        <w:rPr>
          <w:rFonts w:ascii="宋体" w:hAnsi="宋体" w:eastAsia="宋体" w:cs="宋体"/>
          <w:kern w:val="0"/>
          <w:sz w:val="24"/>
          <w:szCs w:val="24"/>
        </w:rPr>
      </w:pPr>
      <w:r>
        <w:rPr>
          <w:rFonts w:ascii="宋体" w:hAnsi="宋体" w:eastAsia="宋体" w:cs="宋体"/>
          <w:kern w:val="0"/>
          <w:sz w:val="24"/>
          <w:szCs w:val="24"/>
        </w:rPr>
        <w:t>—— P308+P313 如接触到或有疑虑： 求医/就诊。</w:t>
      </w:r>
    </w:p>
    <w:p w14:paraId="0BDD1DCA">
      <w:pPr>
        <w:widowControl/>
        <w:numPr>
          <w:ilvl w:val="0"/>
          <w:numId w:val="2"/>
        </w:numPr>
        <w:ind w:left="408"/>
        <w:jc w:val="left"/>
        <w:outlineLvl w:val="4"/>
        <w:rPr>
          <w:rFonts w:ascii="宋体" w:hAnsi="宋体" w:eastAsia="宋体" w:cs="宋体"/>
          <w:b/>
          <w:bCs/>
          <w:kern w:val="0"/>
          <w:sz w:val="19"/>
          <w:szCs w:val="19"/>
        </w:rPr>
      </w:pPr>
      <w:r>
        <w:rPr>
          <w:rFonts w:ascii="宋体" w:hAnsi="宋体" w:eastAsia="宋体" w:cs="宋体"/>
          <w:b/>
          <w:bCs/>
          <w:kern w:val="0"/>
          <w:sz w:val="19"/>
          <w:szCs w:val="19"/>
        </w:rPr>
        <w:t>安全储存：</w:t>
      </w:r>
    </w:p>
    <w:p w14:paraId="0B5CCC2B">
      <w:pPr>
        <w:widowControl/>
        <w:jc w:val="left"/>
        <w:rPr>
          <w:rFonts w:ascii="宋体" w:hAnsi="宋体" w:eastAsia="宋体" w:cs="宋体"/>
          <w:kern w:val="0"/>
          <w:sz w:val="24"/>
          <w:szCs w:val="24"/>
        </w:rPr>
      </w:pPr>
      <w:r>
        <w:rPr>
          <w:rFonts w:ascii="宋体" w:hAnsi="宋体" w:eastAsia="宋体" w:cs="宋体"/>
          <w:kern w:val="0"/>
          <w:sz w:val="24"/>
          <w:szCs w:val="24"/>
        </w:rPr>
        <w:t>—— P405 存放处须加锁。</w:t>
      </w:r>
    </w:p>
    <w:p w14:paraId="14DBCD79">
      <w:pPr>
        <w:widowControl/>
        <w:numPr>
          <w:ilvl w:val="0"/>
          <w:numId w:val="2"/>
        </w:numPr>
        <w:ind w:left="408"/>
        <w:jc w:val="left"/>
        <w:outlineLvl w:val="4"/>
        <w:rPr>
          <w:rFonts w:ascii="宋体" w:hAnsi="宋体" w:eastAsia="宋体" w:cs="宋体"/>
          <w:b/>
          <w:bCs/>
          <w:kern w:val="0"/>
          <w:sz w:val="19"/>
          <w:szCs w:val="19"/>
        </w:rPr>
      </w:pPr>
      <w:r>
        <w:rPr>
          <w:rFonts w:ascii="宋体" w:hAnsi="宋体" w:eastAsia="宋体" w:cs="宋体"/>
          <w:b/>
          <w:bCs/>
          <w:kern w:val="0"/>
          <w:sz w:val="19"/>
          <w:szCs w:val="19"/>
        </w:rPr>
        <w:t>废弃处置：</w:t>
      </w:r>
    </w:p>
    <w:p w14:paraId="5F431180">
      <w:pPr>
        <w:widowControl/>
        <w:jc w:val="left"/>
        <w:rPr>
          <w:rFonts w:ascii="宋体" w:hAnsi="宋体" w:eastAsia="宋体" w:cs="宋体"/>
          <w:kern w:val="0"/>
          <w:sz w:val="24"/>
          <w:szCs w:val="24"/>
        </w:rPr>
      </w:pPr>
      <w:r>
        <w:rPr>
          <w:rFonts w:ascii="宋体" w:hAnsi="宋体" w:eastAsia="宋体" w:cs="宋体"/>
          <w:kern w:val="0"/>
          <w:sz w:val="24"/>
          <w:szCs w:val="24"/>
        </w:rPr>
        <w:t>—— P501 按当地法规处置内装物/容器。</w:t>
      </w:r>
    </w:p>
    <w:p w14:paraId="51B86EF8">
      <w:pPr>
        <w:widowControl/>
        <w:jc w:val="left"/>
        <w:rPr>
          <w:rFonts w:ascii="宋体" w:hAnsi="宋体" w:eastAsia="宋体" w:cs="宋体"/>
          <w:kern w:val="0"/>
          <w:sz w:val="24"/>
          <w:szCs w:val="24"/>
        </w:rPr>
      </w:pPr>
      <w:r>
        <w:rPr>
          <w:rFonts w:ascii="宋体" w:hAnsi="宋体" w:eastAsia="宋体" w:cs="宋体"/>
          <w:b/>
          <w:bCs/>
          <w:kern w:val="0"/>
          <w:sz w:val="19"/>
        </w:rPr>
        <w:t>物理和化学危险：</w:t>
      </w:r>
      <w:r>
        <w:rPr>
          <w:rFonts w:ascii="宋体" w:hAnsi="宋体" w:eastAsia="宋体" w:cs="宋体"/>
          <w:kern w:val="0"/>
          <w:sz w:val="24"/>
          <w:szCs w:val="24"/>
        </w:rPr>
        <w:t> 无资料</w:t>
      </w:r>
    </w:p>
    <w:p w14:paraId="5348DE09">
      <w:pPr>
        <w:widowControl/>
        <w:jc w:val="left"/>
        <w:rPr>
          <w:rFonts w:ascii="宋体" w:hAnsi="宋体" w:eastAsia="宋体" w:cs="宋体"/>
          <w:kern w:val="0"/>
          <w:sz w:val="24"/>
          <w:szCs w:val="24"/>
        </w:rPr>
      </w:pPr>
      <w:r>
        <w:rPr>
          <w:rFonts w:ascii="宋体" w:hAnsi="宋体" w:eastAsia="宋体" w:cs="宋体"/>
          <w:b/>
          <w:bCs/>
          <w:kern w:val="0"/>
          <w:sz w:val="19"/>
        </w:rPr>
        <w:t>健康危害：</w:t>
      </w:r>
      <w:r>
        <w:rPr>
          <w:rFonts w:ascii="宋体" w:hAnsi="宋体" w:eastAsia="宋体" w:cs="宋体"/>
          <w:kern w:val="0"/>
          <w:sz w:val="24"/>
          <w:szCs w:val="24"/>
        </w:rPr>
        <w:t> 怀疑会致癌。</w:t>
      </w:r>
    </w:p>
    <w:p w14:paraId="3FFA4EE8">
      <w:pPr>
        <w:widowControl/>
        <w:jc w:val="left"/>
        <w:rPr>
          <w:rFonts w:ascii="宋体" w:hAnsi="宋体" w:eastAsia="宋体" w:cs="宋体"/>
          <w:kern w:val="0"/>
          <w:sz w:val="24"/>
          <w:szCs w:val="24"/>
        </w:rPr>
      </w:pPr>
      <w:r>
        <w:rPr>
          <w:rFonts w:ascii="宋体" w:hAnsi="宋体" w:eastAsia="宋体" w:cs="宋体"/>
          <w:b/>
          <w:bCs/>
          <w:kern w:val="0"/>
          <w:sz w:val="19"/>
        </w:rPr>
        <w:t>环境危害：</w:t>
      </w:r>
      <w:r>
        <w:rPr>
          <w:rFonts w:ascii="宋体" w:hAnsi="宋体" w:eastAsia="宋体" w:cs="宋体"/>
          <w:kern w:val="0"/>
          <w:sz w:val="24"/>
          <w:szCs w:val="24"/>
        </w:rPr>
        <w:t> 无资料</w:t>
      </w:r>
    </w:p>
    <w:p w14:paraId="4AE8BCC2">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第3部分 成分/组成信息</w:t>
      </w:r>
    </w:p>
    <w:tbl>
      <w:tblPr>
        <w:tblStyle w:val="12"/>
        <w:tblW w:w="7834" w:type="dxa"/>
        <w:tblInd w:w="0" w:type="dxa"/>
        <w:tblLayout w:type="fixed"/>
        <w:tblCellMar>
          <w:top w:w="15" w:type="dxa"/>
          <w:left w:w="15" w:type="dxa"/>
          <w:bottom w:w="15" w:type="dxa"/>
          <w:right w:w="15" w:type="dxa"/>
        </w:tblCellMar>
      </w:tblPr>
      <w:tblGrid>
        <w:gridCol w:w="3195"/>
        <w:gridCol w:w="3181"/>
        <w:gridCol w:w="1458"/>
      </w:tblGrid>
      <w:tr w14:paraId="56E7D011">
        <w:tblPrEx>
          <w:tblCellMar>
            <w:top w:w="15" w:type="dxa"/>
            <w:left w:w="15" w:type="dxa"/>
            <w:bottom w:w="15" w:type="dxa"/>
            <w:right w:w="15" w:type="dxa"/>
          </w:tblCellMar>
        </w:tblPrEx>
        <w:trPr>
          <w:trHeight w:val="318" w:hRule="atLeast"/>
        </w:trPr>
        <w:tc>
          <w:tcPr>
            <w:tcW w:w="3195" w:type="dxa"/>
            <w:tcBorders>
              <w:top w:val="single" w:color="auto" w:sz="6" w:space="0"/>
              <w:left w:val="single" w:color="auto" w:sz="6" w:space="0"/>
              <w:bottom w:val="single" w:color="auto" w:sz="6" w:space="0"/>
              <w:right w:val="single" w:color="auto" w:sz="6" w:space="0"/>
            </w:tcBorders>
            <w:vAlign w:val="center"/>
          </w:tcPr>
          <w:p w14:paraId="5BD02445">
            <w:pPr>
              <w:widowControl/>
              <w:jc w:val="center"/>
              <w:rPr>
                <w:rFonts w:ascii="宋体" w:hAnsi="宋体" w:eastAsia="宋体" w:cs="宋体"/>
                <w:b/>
                <w:bCs/>
                <w:kern w:val="0"/>
                <w:sz w:val="24"/>
                <w:szCs w:val="24"/>
              </w:rPr>
            </w:pPr>
            <w:r>
              <w:rPr>
                <w:rFonts w:ascii="宋体" w:hAnsi="宋体" w:eastAsia="宋体" w:cs="宋体"/>
                <w:b/>
                <w:bCs/>
                <w:kern w:val="0"/>
                <w:sz w:val="24"/>
                <w:szCs w:val="24"/>
              </w:rPr>
              <w:t>组分</w:t>
            </w:r>
          </w:p>
        </w:tc>
        <w:tc>
          <w:tcPr>
            <w:tcW w:w="3181" w:type="dxa"/>
            <w:tcBorders>
              <w:top w:val="single" w:color="auto" w:sz="6" w:space="0"/>
              <w:left w:val="single" w:color="auto" w:sz="6" w:space="0"/>
              <w:bottom w:val="single" w:color="auto" w:sz="6" w:space="0"/>
              <w:right w:val="single" w:color="auto" w:sz="6" w:space="0"/>
            </w:tcBorders>
            <w:vAlign w:val="center"/>
          </w:tcPr>
          <w:p w14:paraId="59A94E32">
            <w:pPr>
              <w:widowControl/>
              <w:jc w:val="center"/>
              <w:rPr>
                <w:rFonts w:ascii="宋体" w:hAnsi="宋体" w:eastAsia="宋体" w:cs="宋体"/>
                <w:b/>
                <w:bCs/>
                <w:kern w:val="0"/>
                <w:sz w:val="24"/>
                <w:szCs w:val="24"/>
              </w:rPr>
            </w:pPr>
            <w:r>
              <w:rPr>
                <w:rFonts w:ascii="宋体" w:hAnsi="宋体" w:eastAsia="宋体" w:cs="宋体"/>
                <w:b/>
                <w:bCs/>
                <w:kern w:val="0"/>
                <w:sz w:val="24"/>
                <w:szCs w:val="24"/>
              </w:rPr>
              <w:t>浓度或浓度范围(质量分数，%)</w:t>
            </w:r>
          </w:p>
        </w:tc>
        <w:tc>
          <w:tcPr>
            <w:tcW w:w="1458" w:type="dxa"/>
            <w:tcBorders>
              <w:top w:val="single" w:color="auto" w:sz="6" w:space="0"/>
              <w:left w:val="single" w:color="auto" w:sz="6" w:space="0"/>
              <w:bottom w:val="single" w:color="auto" w:sz="6" w:space="0"/>
              <w:right w:val="single" w:color="auto" w:sz="6" w:space="0"/>
            </w:tcBorders>
            <w:vAlign w:val="center"/>
          </w:tcPr>
          <w:p w14:paraId="58626013">
            <w:pPr>
              <w:widowControl/>
              <w:jc w:val="center"/>
              <w:rPr>
                <w:rFonts w:ascii="宋体" w:hAnsi="宋体" w:eastAsia="宋体" w:cs="宋体"/>
                <w:b/>
                <w:bCs/>
                <w:kern w:val="0"/>
                <w:sz w:val="24"/>
                <w:szCs w:val="24"/>
              </w:rPr>
            </w:pPr>
            <w:r>
              <w:rPr>
                <w:rFonts w:ascii="宋体" w:hAnsi="宋体" w:eastAsia="宋体" w:cs="宋体"/>
                <w:b/>
                <w:bCs/>
                <w:kern w:val="0"/>
                <w:sz w:val="24"/>
                <w:szCs w:val="24"/>
              </w:rPr>
              <w:t>CAS No.</w:t>
            </w:r>
          </w:p>
        </w:tc>
      </w:tr>
      <w:tr w14:paraId="36BE43B5">
        <w:tblPrEx>
          <w:tblCellMar>
            <w:top w:w="15" w:type="dxa"/>
            <w:left w:w="15" w:type="dxa"/>
            <w:bottom w:w="15" w:type="dxa"/>
            <w:right w:w="15" w:type="dxa"/>
          </w:tblCellMar>
        </w:tblPrEx>
        <w:trPr>
          <w:trHeight w:val="318" w:hRule="atLeast"/>
        </w:trPr>
        <w:tc>
          <w:tcPr>
            <w:tcW w:w="3195" w:type="dxa"/>
            <w:tcBorders>
              <w:top w:val="single" w:color="auto" w:sz="6" w:space="0"/>
              <w:left w:val="single" w:color="auto" w:sz="6" w:space="0"/>
              <w:bottom w:val="single" w:color="auto" w:sz="6" w:space="0"/>
              <w:right w:val="single" w:color="auto" w:sz="6" w:space="0"/>
            </w:tcBorders>
            <w:vAlign w:val="center"/>
          </w:tcPr>
          <w:p w14:paraId="769D917C">
            <w:pPr>
              <w:widowControl/>
              <w:jc w:val="center"/>
              <w:rPr>
                <w:rFonts w:ascii="宋体" w:hAnsi="宋体" w:eastAsia="宋体" w:cs="宋体"/>
                <w:kern w:val="0"/>
                <w:sz w:val="24"/>
                <w:szCs w:val="24"/>
              </w:rPr>
            </w:pPr>
            <w:r>
              <w:rPr>
                <w:rFonts w:ascii="宋体" w:hAnsi="宋体" w:eastAsia="宋体" w:cs="宋体"/>
                <w:kern w:val="0"/>
                <w:sz w:val="24"/>
                <w:szCs w:val="24"/>
              </w:rPr>
              <w:t>Dichloromethane</w:t>
            </w:r>
          </w:p>
        </w:tc>
        <w:tc>
          <w:tcPr>
            <w:tcW w:w="3181" w:type="dxa"/>
            <w:tcBorders>
              <w:top w:val="single" w:color="auto" w:sz="6" w:space="0"/>
              <w:left w:val="single" w:color="auto" w:sz="6" w:space="0"/>
              <w:bottom w:val="single" w:color="auto" w:sz="6" w:space="0"/>
              <w:right w:val="single" w:color="auto" w:sz="6" w:space="0"/>
            </w:tcBorders>
            <w:vAlign w:val="center"/>
          </w:tcPr>
          <w:p w14:paraId="6C0A13CB">
            <w:pPr>
              <w:widowControl/>
              <w:jc w:val="center"/>
              <w:rPr>
                <w:rFonts w:ascii="宋体" w:hAnsi="宋体" w:eastAsia="宋体" w:cs="宋体"/>
                <w:kern w:val="0"/>
                <w:sz w:val="24"/>
                <w:szCs w:val="24"/>
              </w:rPr>
            </w:pPr>
            <w:r>
              <w:rPr>
                <w:rFonts w:ascii="宋体" w:hAnsi="宋体" w:eastAsia="宋体" w:cs="宋体"/>
                <w:kern w:val="0"/>
                <w:sz w:val="24"/>
                <w:szCs w:val="24"/>
              </w:rPr>
              <w:t>100%</w:t>
            </w:r>
          </w:p>
        </w:tc>
        <w:tc>
          <w:tcPr>
            <w:tcW w:w="1458" w:type="dxa"/>
            <w:tcBorders>
              <w:top w:val="single" w:color="auto" w:sz="6" w:space="0"/>
              <w:left w:val="single" w:color="auto" w:sz="6" w:space="0"/>
              <w:bottom w:val="single" w:color="auto" w:sz="6" w:space="0"/>
              <w:right w:val="single" w:color="auto" w:sz="6" w:space="0"/>
            </w:tcBorders>
            <w:vAlign w:val="center"/>
          </w:tcPr>
          <w:p w14:paraId="24FB1FDC">
            <w:pPr>
              <w:widowControl/>
              <w:jc w:val="center"/>
              <w:rPr>
                <w:rFonts w:ascii="宋体" w:hAnsi="宋体" w:eastAsia="宋体" w:cs="宋体"/>
                <w:kern w:val="0"/>
                <w:sz w:val="24"/>
                <w:szCs w:val="24"/>
              </w:rPr>
            </w:pPr>
            <w:r>
              <w:rPr>
                <w:rFonts w:ascii="宋体" w:hAnsi="宋体" w:eastAsia="宋体" w:cs="宋体"/>
                <w:kern w:val="0"/>
                <w:sz w:val="24"/>
                <w:szCs w:val="24"/>
              </w:rPr>
              <w:t>75-09-2</w:t>
            </w:r>
          </w:p>
        </w:tc>
      </w:tr>
    </w:tbl>
    <w:p w14:paraId="2C3F57D1">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第4部分 急救措施</w:t>
      </w:r>
    </w:p>
    <w:p w14:paraId="1DCA1FF5">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急 救：</w:t>
      </w:r>
    </w:p>
    <w:p w14:paraId="770BEB6A">
      <w:pPr>
        <w:widowControl/>
        <w:jc w:val="left"/>
        <w:rPr>
          <w:rFonts w:ascii="宋体" w:hAnsi="宋体" w:eastAsia="宋体" w:cs="宋体"/>
          <w:kern w:val="0"/>
          <w:sz w:val="24"/>
          <w:szCs w:val="24"/>
        </w:rPr>
      </w:pPr>
      <w:r>
        <w:rPr>
          <w:rFonts w:ascii="宋体" w:hAnsi="宋体" w:eastAsia="宋体" w:cs="宋体"/>
          <w:b/>
          <w:bCs/>
          <w:kern w:val="0"/>
          <w:sz w:val="19"/>
        </w:rPr>
        <w:t>吸 入：</w:t>
      </w:r>
      <w:r>
        <w:rPr>
          <w:rFonts w:ascii="宋体" w:hAnsi="宋体" w:eastAsia="宋体" w:cs="宋体"/>
          <w:kern w:val="0"/>
          <w:sz w:val="24"/>
          <w:szCs w:val="24"/>
        </w:rPr>
        <w:t> 迅速脱离现场至空气新鲜处。保持呼吸道通畅。如呼吸困难，给输氧。呼吸、心跳停止，立即进行心肺复苏术。就医</w:t>
      </w:r>
    </w:p>
    <w:p w14:paraId="5761A964">
      <w:pPr>
        <w:widowControl/>
        <w:jc w:val="left"/>
        <w:rPr>
          <w:rFonts w:ascii="宋体" w:hAnsi="宋体" w:eastAsia="宋体" w:cs="宋体"/>
          <w:kern w:val="0"/>
          <w:sz w:val="24"/>
          <w:szCs w:val="24"/>
        </w:rPr>
      </w:pPr>
      <w:r>
        <w:rPr>
          <w:rFonts w:ascii="宋体" w:hAnsi="宋体" w:eastAsia="宋体" w:cs="宋体"/>
          <w:b/>
          <w:bCs/>
          <w:kern w:val="0"/>
          <w:sz w:val="19"/>
        </w:rPr>
        <w:t>皮肤接触：</w:t>
      </w:r>
      <w:r>
        <w:rPr>
          <w:rFonts w:ascii="宋体" w:hAnsi="宋体" w:eastAsia="宋体" w:cs="宋体"/>
          <w:kern w:val="0"/>
          <w:sz w:val="24"/>
          <w:szCs w:val="24"/>
        </w:rPr>
        <w:t> 立即脱去污染的衣着，用肥皂水和清水彻底冲洗。就医</w:t>
      </w:r>
    </w:p>
    <w:p w14:paraId="606BB93B">
      <w:pPr>
        <w:widowControl/>
        <w:jc w:val="left"/>
        <w:rPr>
          <w:rFonts w:ascii="宋体" w:hAnsi="宋体" w:eastAsia="宋体" w:cs="宋体"/>
          <w:kern w:val="0"/>
          <w:sz w:val="24"/>
          <w:szCs w:val="24"/>
        </w:rPr>
      </w:pPr>
      <w:r>
        <w:rPr>
          <w:rFonts w:ascii="宋体" w:hAnsi="宋体" w:eastAsia="宋体" w:cs="宋体"/>
          <w:b/>
          <w:bCs/>
          <w:kern w:val="0"/>
          <w:sz w:val="19"/>
        </w:rPr>
        <w:t>眼晴接触：</w:t>
      </w:r>
      <w:r>
        <w:rPr>
          <w:rFonts w:ascii="宋体" w:hAnsi="宋体" w:eastAsia="宋体" w:cs="宋体"/>
          <w:kern w:val="0"/>
          <w:sz w:val="24"/>
          <w:szCs w:val="24"/>
        </w:rPr>
        <w:t> 立即分开眼睑，用流动清水或生理盐水彻底冲洗。就医</w:t>
      </w:r>
    </w:p>
    <w:p w14:paraId="0B034C52">
      <w:pPr>
        <w:widowControl/>
        <w:jc w:val="left"/>
        <w:rPr>
          <w:rFonts w:ascii="宋体" w:hAnsi="宋体" w:eastAsia="宋体" w:cs="宋体"/>
          <w:kern w:val="0"/>
          <w:sz w:val="24"/>
          <w:szCs w:val="24"/>
        </w:rPr>
      </w:pPr>
      <w:r>
        <w:rPr>
          <w:rFonts w:ascii="宋体" w:hAnsi="宋体" w:eastAsia="宋体" w:cs="宋体"/>
          <w:b/>
          <w:bCs/>
          <w:kern w:val="0"/>
          <w:sz w:val="19"/>
        </w:rPr>
        <w:t>食 入：</w:t>
      </w:r>
      <w:r>
        <w:rPr>
          <w:rFonts w:ascii="宋体" w:hAnsi="宋体" w:eastAsia="宋体" w:cs="宋体"/>
          <w:kern w:val="0"/>
          <w:sz w:val="24"/>
          <w:szCs w:val="24"/>
        </w:rPr>
        <w:t> 尽量饮水，给服活性炭悬液。忌服油脂、酒精。如吞服量较大，且在30min以内，可洗胃。就医 忌用肾上腺素类药物</w:t>
      </w:r>
    </w:p>
    <w:p w14:paraId="3A33DE72">
      <w:pPr>
        <w:widowControl/>
        <w:jc w:val="left"/>
        <w:rPr>
          <w:rFonts w:ascii="宋体" w:hAnsi="宋体" w:eastAsia="宋体" w:cs="宋体"/>
          <w:kern w:val="0"/>
          <w:sz w:val="24"/>
          <w:szCs w:val="24"/>
        </w:rPr>
      </w:pPr>
      <w:r>
        <w:rPr>
          <w:rFonts w:ascii="宋体" w:hAnsi="宋体" w:eastAsia="宋体" w:cs="宋体"/>
          <w:b/>
          <w:bCs/>
          <w:kern w:val="0"/>
          <w:sz w:val="19"/>
        </w:rPr>
        <w:t>对保护施救者的忠告：</w:t>
      </w:r>
      <w:r>
        <w:rPr>
          <w:rFonts w:ascii="宋体" w:hAnsi="宋体" w:eastAsia="宋体" w:cs="宋体"/>
          <w:kern w:val="0"/>
          <w:sz w:val="24"/>
          <w:szCs w:val="24"/>
        </w:rPr>
        <w:t> 将患者转移到安全的场所。咨询医生。出示此化学品安全技术说明书给到现场的医生看。</w:t>
      </w:r>
    </w:p>
    <w:p w14:paraId="08BD4A21">
      <w:pPr>
        <w:widowControl/>
        <w:jc w:val="left"/>
        <w:rPr>
          <w:rFonts w:ascii="宋体" w:hAnsi="宋体" w:eastAsia="宋体" w:cs="宋体"/>
          <w:kern w:val="0"/>
          <w:sz w:val="24"/>
          <w:szCs w:val="24"/>
        </w:rPr>
      </w:pPr>
      <w:r>
        <w:rPr>
          <w:rFonts w:ascii="宋体" w:hAnsi="宋体" w:eastAsia="宋体" w:cs="宋体"/>
          <w:b/>
          <w:bCs/>
          <w:kern w:val="0"/>
          <w:sz w:val="19"/>
        </w:rPr>
        <w:t>对医生的特别提示：</w:t>
      </w:r>
      <w:r>
        <w:rPr>
          <w:rFonts w:ascii="宋体" w:hAnsi="宋体" w:eastAsia="宋体" w:cs="宋体"/>
          <w:kern w:val="0"/>
          <w:sz w:val="24"/>
          <w:szCs w:val="24"/>
        </w:rPr>
        <w:t> 无资料</w:t>
      </w:r>
    </w:p>
    <w:p w14:paraId="4AE73AE4">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第5部分 消防措施</w:t>
      </w:r>
    </w:p>
    <w:p w14:paraId="01704851">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灭火剂：</w:t>
      </w:r>
    </w:p>
    <w:p w14:paraId="6FF75094">
      <w:pPr>
        <w:widowControl/>
        <w:jc w:val="left"/>
        <w:rPr>
          <w:rFonts w:ascii="宋体" w:hAnsi="宋体" w:eastAsia="宋体" w:cs="宋体"/>
          <w:kern w:val="0"/>
          <w:sz w:val="24"/>
          <w:szCs w:val="24"/>
        </w:rPr>
      </w:pPr>
      <w:r>
        <w:rPr>
          <w:rFonts w:ascii="宋体" w:hAnsi="宋体" w:eastAsia="宋体" w:cs="宋体"/>
          <w:kern w:val="0"/>
          <w:sz w:val="24"/>
          <w:szCs w:val="24"/>
        </w:rPr>
        <w:t>用水雾、干粉、泡沫或二氧化碳灭火剂灭火。避免使用直流水灭火，直流水可能导致可燃性液体的飞溅，使火势扩散。</w:t>
      </w:r>
    </w:p>
    <w:p w14:paraId="2BFF184C">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特别危险性：</w:t>
      </w:r>
    </w:p>
    <w:p w14:paraId="28869C39">
      <w:pPr>
        <w:widowControl/>
        <w:jc w:val="left"/>
        <w:rPr>
          <w:rFonts w:ascii="宋体" w:hAnsi="宋体" w:eastAsia="宋体" w:cs="宋体"/>
          <w:kern w:val="0"/>
          <w:sz w:val="24"/>
          <w:szCs w:val="24"/>
        </w:rPr>
      </w:pPr>
      <w:r>
        <w:rPr>
          <w:rFonts w:ascii="宋体" w:hAnsi="宋体" w:eastAsia="宋体" w:cs="宋体"/>
          <w:kern w:val="0"/>
          <w:sz w:val="24"/>
          <w:szCs w:val="24"/>
        </w:rPr>
        <w:t>易燃。蒸气与空气能形成爆炸性混合物，遇明火、高热能引起燃烧爆炸。蒸气比空气重，能在较低处扩散到相当远的地方，遇火源会着火回燃和爆炸（闪爆）。遇潮湿空气能水解生成微量的氯化氢，光照亦能促进水解而对金属的腐蚀性增强</w:t>
      </w:r>
    </w:p>
    <w:p w14:paraId="4CBA33F6">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灭火注意事项及防护措施：</w:t>
      </w:r>
    </w:p>
    <w:p w14:paraId="57010667">
      <w:pPr>
        <w:widowControl/>
        <w:jc w:val="left"/>
        <w:rPr>
          <w:rFonts w:ascii="宋体" w:hAnsi="宋体" w:eastAsia="宋体" w:cs="宋体"/>
          <w:kern w:val="0"/>
          <w:sz w:val="24"/>
          <w:szCs w:val="24"/>
        </w:rPr>
      </w:pPr>
      <w:r>
        <w:rPr>
          <w:rFonts w:ascii="宋体" w:hAnsi="宋体" w:eastAsia="宋体" w:cs="宋体"/>
          <w:kern w:val="0"/>
          <w:sz w:val="24"/>
          <w:szCs w:val="24"/>
        </w:rPr>
        <w:t>尽可能将容器从火场移至空旷处。喷水冷却容器。消防人员须佩戴空气呼吸器，穿全身消防服，在上风向灭火 灭火剂：雾状水、抗溶性泡沫、二氧化碳、砂土</w:t>
      </w:r>
    </w:p>
    <w:p w14:paraId="6FB8A6D1">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第6部分 泄露应急处理</w:t>
      </w:r>
    </w:p>
    <w:p w14:paraId="25532F8D">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作业人员防护措施、防护装备和应急处置程序：</w:t>
      </w:r>
    </w:p>
    <w:p w14:paraId="5D028E8B">
      <w:pPr>
        <w:widowControl/>
        <w:jc w:val="left"/>
        <w:rPr>
          <w:rFonts w:ascii="宋体" w:hAnsi="宋体" w:eastAsia="宋体" w:cs="宋体"/>
          <w:kern w:val="0"/>
          <w:sz w:val="24"/>
          <w:szCs w:val="24"/>
        </w:rPr>
      </w:pPr>
      <w:r>
        <w:rPr>
          <w:rFonts w:ascii="宋体" w:hAnsi="宋体" w:eastAsia="宋体" w:cs="宋体"/>
          <w:kern w:val="0"/>
          <w:sz w:val="24"/>
          <w:szCs w:val="24"/>
        </w:rPr>
        <w:t>消除所有火源。根据液体流动和蒸气扩散的影响区域划定警戒区，无关人员从侧风、上风向撤离至安全区。建议应急处理人员戴正压自给式呼吸器，穿防毒服，戴防化学品手套。尽可能切断泄漏源。防止泄漏物进入水体、下水道、地下室或限制性空间。小量泄漏：用砂土或其他不燃材料吸收。大量泄漏：构筑围堤或挖坑收容。用泡沫覆盖，减少蒸发。用砂土、惰性物质或蛭石吸收大量液体。用泵转移至槽车或专用收集器内</w:t>
      </w:r>
    </w:p>
    <w:p w14:paraId="2E5E9745">
      <w:pPr>
        <w:widowControl/>
        <w:jc w:val="left"/>
        <w:rPr>
          <w:rFonts w:ascii="宋体" w:hAnsi="宋体" w:eastAsia="宋体" w:cs="宋体"/>
          <w:kern w:val="0"/>
          <w:sz w:val="24"/>
          <w:szCs w:val="24"/>
        </w:rPr>
      </w:pPr>
      <w:r>
        <w:rPr>
          <w:rFonts w:ascii="宋体" w:hAnsi="宋体" w:eastAsia="宋体" w:cs="宋体"/>
          <w:b/>
          <w:bCs/>
          <w:kern w:val="0"/>
          <w:sz w:val="19"/>
        </w:rPr>
        <w:t>环境保护措施：</w:t>
      </w:r>
      <w:r>
        <w:rPr>
          <w:rFonts w:ascii="宋体" w:hAnsi="宋体" w:eastAsia="宋体" w:cs="宋体"/>
          <w:kern w:val="0"/>
          <w:sz w:val="24"/>
          <w:szCs w:val="24"/>
        </w:rPr>
        <w:t> 收容泄漏物，避免污染环境。防止泄漏物进入下水道、地表水和地下水。</w:t>
      </w:r>
    </w:p>
    <w:p w14:paraId="4E2AEEE6">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泄漏化学品的收容、清除方法及所使用的处置材料：</w:t>
      </w:r>
    </w:p>
    <w:p w14:paraId="246B0B77">
      <w:pPr>
        <w:widowControl/>
        <w:jc w:val="left"/>
        <w:rPr>
          <w:rFonts w:ascii="宋体" w:hAnsi="宋体" w:eastAsia="宋体" w:cs="宋体"/>
          <w:kern w:val="0"/>
          <w:sz w:val="24"/>
          <w:szCs w:val="24"/>
        </w:rPr>
      </w:pPr>
      <w:r>
        <w:rPr>
          <w:rFonts w:ascii="宋体" w:hAnsi="宋体" w:eastAsia="宋体" w:cs="宋体"/>
          <w:kern w:val="0"/>
          <w:sz w:val="24"/>
          <w:szCs w:val="24"/>
        </w:rPr>
        <w:t>小量泄漏：尽可能将泄漏液体收集在可密闭的容器中。用沙土、活性炭或其它惰性材料吸收，并转移至安全场所。禁止冲入下水道。</w:t>
      </w:r>
    </w:p>
    <w:p w14:paraId="10BA3B2E">
      <w:pPr>
        <w:widowControl/>
        <w:jc w:val="left"/>
        <w:rPr>
          <w:rFonts w:ascii="宋体" w:hAnsi="宋体" w:eastAsia="宋体" w:cs="宋体"/>
          <w:kern w:val="0"/>
          <w:sz w:val="24"/>
          <w:szCs w:val="24"/>
        </w:rPr>
      </w:pPr>
      <w:r>
        <w:rPr>
          <w:rFonts w:ascii="宋体" w:hAnsi="宋体" w:eastAsia="宋体" w:cs="宋体"/>
          <w:kern w:val="0"/>
          <w:sz w:val="24"/>
          <w:szCs w:val="24"/>
        </w:rPr>
        <w:t>大量泄漏：构筑围堤或挖坑收容。封闭排水管道。用泡沫覆盖，抑制蒸发。用防爆泵转移至槽车或专用收集器内，回收或运至废物处理场所处置。</w:t>
      </w:r>
    </w:p>
    <w:p w14:paraId="563237E2">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第7部分 操作处置与储存</w:t>
      </w:r>
    </w:p>
    <w:p w14:paraId="04801700">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操作注意事项：</w:t>
      </w:r>
    </w:p>
    <w:p w14:paraId="10B4AF28">
      <w:pPr>
        <w:widowControl/>
        <w:jc w:val="left"/>
        <w:rPr>
          <w:rFonts w:ascii="宋体" w:hAnsi="宋体" w:eastAsia="宋体" w:cs="宋体"/>
          <w:kern w:val="0"/>
          <w:sz w:val="24"/>
          <w:szCs w:val="24"/>
        </w:rPr>
      </w:pPr>
      <w:r>
        <w:rPr>
          <w:rFonts w:ascii="宋体" w:hAnsi="宋体" w:eastAsia="宋体" w:cs="宋体"/>
          <w:kern w:val="0"/>
          <w:sz w:val="24"/>
          <w:szCs w:val="24"/>
        </w:rPr>
        <w:t>防止静电荷积聚(例如通过接地)。</w:t>
      </w:r>
    </w:p>
    <w:p w14:paraId="3FBC979A">
      <w:pPr>
        <w:widowControl/>
        <w:jc w:val="left"/>
        <w:rPr>
          <w:rFonts w:ascii="宋体" w:hAnsi="宋体" w:eastAsia="宋体" w:cs="宋体"/>
          <w:kern w:val="0"/>
          <w:sz w:val="24"/>
          <w:szCs w:val="24"/>
        </w:rPr>
      </w:pPr>
      <w:r>
        <w:rPr>
          <w:rFonts w:ascii="宋体" w:hAnsi="宋体" w:eastAsia="宋体" w:cs="宋体"/>
          <w:kern w:val="0"/>
          <w:sz w:val="24"/>
          <w:szCs w:val="24"/>
        </w:rPr>
        <w:t>操作人员应经过专门培训，严格遵守操作规程。</w:t>
      </w:r>
    </w:p>
    <w:p w14:paraId="0B21CEF1">
      <w:pPr>
        <w:widowControl/>
        <w:jc w:val="left"/>
        <w:rPr>
          <w:rFonts w:ascii="宋体" w:hAnsi="宋体" w:eastAsia="宋体" w:cs="宋体"/>
          <w:kern w:val="0"/>
          <w:sz w:val="24"/>
          <w:szCs w:val="24"/>
        </w:rPr>
      </w:pPr>
      <w:r>
        <w:rPr>
          <w:rFonts w:ascii="宋体" w:hAnsi="宋体" w:eastAsia="宋体" w:cs="宋体"/>
          <w:kern w:val="0"/>
          <w:sz w:val="24"/>
          <w:szCs w:val="24"/>
        </w:rPr>
        <w:t>操作处置应在具备局部通风或全面通风换气设施的场所进行。</w:t>
      </w:r>
    </w:p>
    <w:p w14:paraId="3F3751C4">
      <w:pPr>
        <w:widowControl/>
        <w:jc w:val="left"/>
        <w:rPr>
          <w:rFonts w:ascii="宋体" w:hAnsi="宋体" w:eastAsia="宋体" w:cs="宋体"/>
          <w:kern w:val="0"/>
          <w:sz w:val="24"/>
          <w:szCs w:val="24"/>
        </w:rPr>
      </w:pPr>
      <w:r>
        <w:rPr>
          <w:rFonts w:ascii="宋体" w:hAnsi="宋体" w:eastAsia="宋体" w:cs="宋体"/>
          <w:kern w:val="0"/>
          <w:sz w:val="24"/>
          <w:szCs w:val="24"/>
        </w:rPr>
        <w:t>避免眼和皮肤的接触，避免吸入蒸汽。</w:t>
      </w:r>
    </w:p>
    <w:p w14:paraId="62F39A14">
      <w:pPr>
        <w:widowControl/>
        <w:jc w:val="left"/>
        <w:rPr>
          <w:rFonts w:ascii="宋体" w:hAnsi="宋体" w:eastAsia="宋体" w:cs="宋体"/>
          <w:kern w:val="0"/>
          <w:sz w:val="24"/>
          <w:szCs w:val="24"/>
        </w:rPr>
      </w:pPr>
      <w:r>
        <w:rPr>
          <w:rFonts w:ascii="宋体" w:hAnsi="宋体" w:eastAsia="宋体" w:cs="宋体"/>
          <w:kern w:val="0"/>
          <w:sz w:val="24"/>
          <w:szCs w:val="24"/>
        </w:rPr>
        <w:t>个体防护措施参见第8部分。</w:t>
      </w:r>
    </w:p>
    <w:p w14:paraId="3EA4B073">
      <w:pPr>
        <w:widowControl/>
        <w:jc w:val="left"/>
        <w:rPr>
          <w:rFonts w:ascii="宋体" w:hAnsi="宋体" w:eastAsia="宋体" w:cs="宋体"/>
          <w:kern w:val="0"/>
          <w:sz w:val="24"/>
          <w:szCs w:val="24"/>
        </w:rPr>
      </w:pPr>
      <w:r>
        <w:rPr>
          <w:rFonts w:ascii="宋体" w:hAnsi="宋体" w:eastAsia="宋体" w:cs="宋体"/>
          <w:kern w:val="0"/>
          <w:sz w:val="24"/>
          <w:szCs w:val="24"/>
        </w:rPr>
        <w:t>远离火种、热源，工作场所严禁吸烟。</w:t>
      </w:r>
    </w:p>
    <w:p w14:paraId="25C1EA6B">
      <w:pPr>
        <w:widowControl/>
        <w:jc w:val="left"/>
        <w:rPr>
          <w:rFonts w:ascii="宋体" w:hAnsi="宋体" w:eastAsia="宋体" w:cs="宋体"/>
          <w:kern w:val="0"/>
          <w:sz w:val="24"/>
          <w:szCs w:val="24"/>
        </w:rPr>
      </w:pPr>
      <w:r>
        <w:rPr>
          <w:rFonts w:ascii="宋体" w:hAnsi="宋体" w:eastAsia="宋体" w:cs="宋体"/>
          <w:kern w:val="0"/>
          <w:sz w:val="24"/>
          <w:szCs w:val="24"/>
        </w:rPr>
        <w:t>使用防爆型的通风系统和设备。</w:t>
      </w:r>
    </w:p>
    <w:p w14:paraId="5B427E28">
      <w:pPr>
        <w:widowControl/>
        <w:jc w:val="left"/>
        <w:rPr>
          <w:rFonts w:ascii="宋体" w:hAnsi="宋体" w:eastAsia="宋体" w:cs="宋体"/>
          <w:kern w:val="0"/>
          <w:sz w:val="24"/>
          <w:szCs w:val="24"/>
        </w:rPr>
      </w:pPr>
      <w:r>
        <w:rPr>
          <w:rFonts w:ascii="宋体" w:hAnsi="宋体" w:eastAsia="宋体" w:cs="宋体"/>
          <w:kern w:val="0"/>
          <w:sz w:val="24"/>
          <w:szCs w:val="24"/>
        </w:rPr>
        <w:t>如需罐装，应控制流速，且有接地装置，防止静电积聚。</w:t>
      </w:r>
    </w:p>
    <w:p w14:paraId="46B05BDE">
      <w:pPr>
        <w:widowControl/>
        <w:jc w:val="left"/>
        <w:rPr>
          <w:rFonts w:ascii="宋体" w:hAnsi="宋体" w:eastAsia="宋体" w:cs="宋体"/>
          <w:kern w:val="0"/>
          <w:sz w:val="24"/>
          <w:szCs w:val="24"/>
        </w:rPr>
      </w:pPr>
      <w:r>
        <w:rPr>
          <w:rFonts w:ascii="宋体" w:hAnsi="宋体" w:eastAsia="宋体" w:cs="宋体"/>
          <w:kern w:val="0"/>
          <w:sz w:val="24"/>
          <w:szCs w:val="24"/>
        </w:rPr>
        <w:t>避免与氧化剂等禁配物接触（禁配物参见第10部分）。</w:t>
      </w:r>
    </w:p>
    <w:p w14:paraId="6B35BE7F">
      <w:pPr>
        <w:widowControl/>
        <w:jc w:val="left"/>
        <w:rPr>
          <w:rFonts w:ascii="宋体" w:hAnsi="宋体" w:eastAsia="宋体" w:cs="宋体"/>
          <w:kern w:val="0"/>
          <w:sz w:val="24"/>
          <w:szCs w:val="24"/>
        </w:rPr>
      </w:pPr>
      <w:r>
        <w:rPr>
          <w:rFonts w:ascii="宋体" w:hAnsi="宋体" w:eastAsia="宋体" w:cs="宋体"/>
          <w:kern w:val="0"/>
          <w:sz w:val="24"/>
          <w:szCs w:val="24"/>
        </w:rPr>
        <w:t>搬运时要轻装轻卸，防止包装及容器损坏。</w:t>
      </w:r>
    </w:p>
    <w:p w14:paraId="6CCAA820">
      <w:pPr>
        <w:widowControl/>
        <w:jc w:val="left"/>
        <w:rPr>
          <w:rFonts w:ascii="宋体" w:hAnsi="宋体" w:eastAsia="宋体" w:cs="宋体"/>
          <w:kern w:val="0"/>
          <w:sz w:val="24"/>
          <w:szCs w:val="24"/>
        </w:rPr>
      </w:pPr>
      <w:r>
        <w:rPr>
          <w:rFonts w:ascii="宋体" w:hAnsi="宋体" w:eastAsia="宋体" w:cs="宋体"/>
          <w:kern w:val="0"/>
          <w:sz w:val="24"/>
          <w:szCs w:val="24"/>
        </w:rPr>
        <w:t>倒空的容器可能残留有害物。</w:t>
      </w:r>
    </w:p>
    <w:p w14:paraId="5A4287C2">
      <w:pPr>
        <w:widowControl/>
        <w:jc w:val="left"/>
        <w:rPr>
          <w:rFonts w:ascii="宋体" w:hAnsi="宋体" w:eastAsia="宋体" w:cs="宋体"/>
          <w:kern w:val="0"/>
          <w:sz w:val="24"/>
          <w:szCs w:val="24"/>
        </w:rPr>
      </w:pPr>
      <w:r>
        <w:rPr>
          <w:rFonts w:ascii="宋体" w:hAnsi="宋体" w:eastAsia="宋体" w:cs="宋体"/>
          <w:kern w:val="0"/>
          <w:sz w:val="24"/>
          <w:szCs w:val="24"/>
        </w:rPr>
        <w:t>使用后洗手，禁止在工作场所进饮食。</w:t>
      </w:r>
    </w:p>
    <w:p w14:paraId="02F3425F">
      <w:pPr>
        <w:widowControl/>
        <w:jc w:val="left"/>
        <w:rPr>
          <w:rFonts w:ascii="宋体" w:hAnsi="宋体" w:eastAsia="宋体" w:cs="宋体"/>
          <w:kern w:val="0"/>
          <w:sz w:val="24"/>
          <w:szCs w:val="24"/>
        </w:rPr>
      </w:pPr>
      <w:r>
        <w:rPr>
          <w:rFonts w:ascii="宋体" w:hAnsi="宋体" w:eastAsia="宋体" w:cs="宋体"/>
          <w:kern w:val="0"/>
          <w:sz w:val="24"/>
          <w:szCs w:val="24"/>
        </w:rPr>
        <w:t>配备相应品种和数量的消防器材及泄漏应急处理设备。</w:t>
      </w:r>
    </w:p>
    <w:p w14:paraId="04EC34AF">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储存注意事项：</w:t>
      </w:r>
    </w:p>
    <w:p w14:paraId="6D336E1D">
      <w:pPr>
        <w:widowControl/>
        <w:jc w:val="left"/>
        <w:rPr>
          <w:rFonts w:ascii="宋体" w:hAnsi="宋体" w:eastAsia="宋体" w:cs="宋体"/>
          <w:kern w:val="0"/>
          <w:sz w:val="24"/>
          <w:szCs w:val="24"/>
        </w:rPr>
      </w:pPr>
      <w:r>
        <w:rPr>
          <w:rFonts w:ascii="宋体" w:hAnsi="宋体" w:eastAsia="宋体" w:cs="宋体"/>
          <w:kern w:val="0"/>
          <w:sz w:val="24"/>
          <w:szCs w:val="24"/>
        </w:rPr>
        <w:t>与强氧化剂、强碱、金属和食品和饲料分开存放。见化学危险性。阴凉。严格密封。沿地面通风。</w:t>
      </w:r>
    </w:p>
    <w:p w14:paraId="3EA9E657">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第8部分 接触控制/个体防护</w:t>
      </w:r>
    </w:p>
    <w:p w14:paraId="7DE610E1">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职业接触限值：</w:t>
      </w:r>
    </w:p>
    <w:p w14:paraId="630B04CE">
      <w:pPr>
        <w:widowControl/>
        <w:jc w:val="left"/>
        <w:rPr>
          <w:rFonts w:ascii="宋体" w:hAnsi="宋体" w:eastAsia="宋体" w:cs="宋体"/>
          <w:kern w:val="0"/>
          <w:sz w:val="24"/>
          <w:szCs w:val="24"/>
        </w:rPr>
      </w:pPr>
      <w:r>
        <w:rPr>
          <w:rFonts w:ascii="宋体" w:hAnsi="宋体" w:eastAsia="宋体" w:cs="宋体"/>
          <w:kern w:val="0"/>
          <w:sz w:val="24"/>
          <w:szCs w:val="24"/>
        </w:rPr>
        <w:t>中国：PC-TWA：200mg/m3[G2B] 美国（ACGIH）：TLV-TWA：50ppm</w:t>
      </w:r>
    </w:p>
    <w:p w14:paraId="5652A979">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生物限制：</w:t>
      </w:r>
    </w:p>
    <w:p w14:paraId="2394A6B7">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0C558DDD">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监测方法：</w:t>
      </w:r>
    </w:p>
    <w:p w14:paraId="6A0035BE">
      <w:pPr>
        <w:widowControl/>
        <w:jc w:val="left"/>
        <w:rPr>
          <w:rFonts w:ascii="宋体" w:hAnsi="宋体" w:eastAsia="宋体" w:cs="宋体"/>
          <w:kern w:val="0"/>
          <w:sz w:val="24"/>
          <w:szCs w:val="24"/>
        </w:rPr>
      </w:pPr>
      <w:r>
        <w:rPr>
          <w:rFonts w:ascii="宋体" w:hAnsi="宋体" w:eastAsia="宋体" w:cs="宋体"/>
          <w:kern w:val="0"/>
          <w:sz w:val="24"/>
          <w:szCs w:val="24"/>
        </w:rPr>
        <w:t>GBZ/T 160.1 ~ GBZ/T 160.81-2004 工作场所空气有毒物质测定（系列标准）, EN 14042 工作场所空气 用于评估暴露于化学或生物试剂的程序指南</w:t>
      </w:r>
    </w:p>
    <w:p w14:paraId="66352C8B">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工程控制：</w:t>
      </w:r>
    </w:p>
    <w:p w14:paraId="39A64580">
      <w:pPr>
        <w:widowControl/>
        <w:jc w:val="left"/>
        <w:rPr>
          <w:rFonts w:ascii="宋体" w:hAnsi="宋体" w:eastAsia="宋体" w:cs="宋体"/>
          <w:kern w:val="0"/>
          <w:sz w:val="24"/>
          <w:szCs w:val="24"/>
        </w:rPr>
      </w:pPr>
      <w:r>
        <w:rPr>
          <w:rFonts w:ascii="宋体" w:hAnsi="宋体" w:eastAsia="宋体" w:cs="宋体"/>
          <w:kern w:val="0"/>
          <w:sz w:val="24"/>
          <w:szCs w:val="24"/>
        </w:rPr>
        <w:t>防止产生烟云！严格作业环境管理！</w:t>
      </w:r>
    </w:p>
    <w:p w14:paraId="4D907EC0">
      <w:pPr>
        <w:widowControl/>
        <w:jc w:val="left"/>
        <w:rPr>
          <w:rFonts w:ascii="宋体" w:hAnsi="宋体" w:eastAsia="宋体" w:cs="宋体"/>
          <w:kern w:val="0"/>
          <w:sz w:val="24"/>
          <w:szCs w:val="24"/>
        </w:rPr>
      </w:pPr>
      <w:r>
        <w:rPr>
          <w:rFonts w:ascii="宋体" w:hAnsi="宋体" w:eastAsia="宋体" w:cs="宋体"/>
          <w:kern w:val="0"/>
          <w:sz w:val="24"/>
          <w:szCs w:val="24"/>
        </w:rPr>
        <w:t>作业场所建议与其它作业场所分开。</w:t>
      </w:r>
    </w:p>
    <w:p w14:paraId="5A589439">
      <w:pPr>
        <w:widowControl/>
        <w:jc w:val="left"/>
        <w:rPr>
          <w:rFonts w:ascii="宋体" w:hAnsi="宋体" w:eastAsia="宋体" w:cs="宋体"/>
          <w:kern w:val="0"/>
          <w:sz w:val="24"/>
          <w:szCs w:val="24"/>
        </w:rPr>
      </w:pPr>
      <w:r>
        <w:rPr>
          <w:rFonts w:ascii="宋体" w:hAnsi="宋体" w:eastAsia="宋体" w:cs="宋体"/>
          <w:kern w:val="0"/>
          <w:sz w:val="24"/>
          <w:szCs w:val="24"/>
        </w:rPr>
        <w:t>密闭操作，防止泄漏。</w:t>
      </w:r>
    </w:p>
    <w:p w14:paraId="46535F11">
      <w:pPr>
        <w:widowControl/>
        <w:jc w:val="left"/>
        <w:rPr>
          <w:rFonts w:ascii="宋体" w:hAnsi="宋体" w:eastAsia="宋体" w:cs="宋体"/>
          <w:kern w:val="0"/>
          <w:sz w:val="24"/>
          <w:szCs w:val="24"/>
        </w:rPr>
      </w:pPr>
      <w:r>
        <w:rPr>
          <w:rFonts w:ascii="宋体" w:hAnsi="宋体" w:eastAsia="宋体" w:cs="宋体"/>
          <w:kern w:val="0"/>
          <w:sz w:val="24"/>
          <w:szCs w:val="24"/>
        </w:rPr>
        <w:t>加强通风。</w:t>
      </w:r>
    </w:p>
    <w:p w14:paraId="37589015">
      <w:pPr>
        <w:widowControl/>
        <w:jc w:val="left"/>
        <w:rPr>
          <w:rFonts w:ascii="宋体" w:hAnsi="宋体" w:eastAsia="宋体" w:cs="宋体"/>
          <w:kern w:val="0"/>
          <w:sz w:val="24"/>
          <w:szCs w:val="24"/>
        </w:rPr>
      </w:pPr>
      <w:r>
        <w:rPr>
          <w:rFonts w:ascii="宋体" w:hAnsi="宋体" w:eastAsia="宋体" w:cs="宋体"/>
          <w:kern w:val="0"/>
          <w:sz w:val="24"/>
          <w:szCs w:val="24"/>
        </w:rPr>
        <w:t>设置自动报警装置和事故通风设施。</w:t>
      </w:r>
    </w:p>
    <w:p w14:paraId="18A9FC42">
      <w:pPr>
        <w:widowControl/>
        <w:jc w:val="left"/>
        <w:rPr>
          <w:rFonts w:ascii="宋体" w:hAnsi="宋体" w:eastAsia="宋体" w:cs="宋体"/>
          <w:kern w:val="0"/>
          <w:sz w:val="24"/>
          <w:szCs w:val="24"/>
        </w:rPr>
      </w:pPr>
      <w:r>
        <w:rPr>
          <w:rFonts w:ascii="宋体" w:hAnsi="宋体" w:eastAsia="宋体" w:cs="宋体"/>
          <w:kern w:val="0"/>
          <w:sz w:val="24"/>
          <w:szCs w:val="24"/>
        </w:rPr>
        <w:t>设置应急撤离通道和必要的泻险区。</w:t>
      </w:r>
    </w:p>
    <w:p w14:paraId="6497A780">
      <w:pPr>
        <w:widowControl/>
        <w:jc w:val="left"/>
        <w:rPr>
          <w:rFonts w:ascii="宋体" w:hAnsi="宋体" w:eastAsia="宋体" w:cs="宋体"/>
          <w:kern w:val="0"/>
          <w:sz w:val="24"/>
          <w:szCs w:val="24"/>
        </w:rPr>
      </w:pPr>
      <w:r>
        <w:rPr>
          <w:rFonts w:ascii="宋体" w:hAnsi="宋体" w:eastAsia="宋体" w:cs="宋体"/>
          <w:kern w:val="0"/>
          <w:sz w:val="24"/>
          <w:szCs w:val="24"/>
        </w:rPr>
        <w:t>设置红色区域警示线、警示标识和中文警示说明，并设置通讯报警系统。</w:t>
      </w:r>
    </w:p>
    <w:p w14:paraId="6F9C62BF">
      <w:pPr>
        <w:widowControl/>
        <w:jc w:val="left"/>
        <w:rPr>
          <w:rFonts w:ascii="宋体" w:hAnsi="宋体" w:eastAsia="宋体" w:cs="宋体"/>
          <w:kern w:val="0"/>
          <w:sz w:val="24"/>
          <w:szCs w:val="24"/>
        </w:rPr>
      </w:pPr>
      <w:r>
        <w:rPr>
          <w:rFonts w:ascii="宋体" w:hAnsi="宋体" w:eastAsia="宋体" w:cs="宋体"/>
          <w:kern w:val="0"/>
          <w:sz w:val="24"/>
          <w:szCs w:val="24"/>
        </w:rPr>
        <w:t>提供安全淋浴和洗眼设备。</w:t>
      </w:r>
    </w:p>
    <w:p w14:paraId="40B378D2">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个体防护装备：</w:t>
      </w:r>
    </w:p>
    <w:p w14:paraId="18FFE1FA">
      <w:pPr>
        <w:widowControl/>
        <w:jc w:val="left"/>
        <w:rPr>
          <w:rFonts w:ascii="宋体" w:hAnsi="宋体" w:eastAsia="宋体" w:cs="宋体"/>
          <w:kern w:val="0"/>
          <w:sz w:val="24"/>
          <w:szCs w:val="24"/>
        </w:rPr>
      </w:pPr>
      <w:r>
        <w:rPr>
          <w:rFonts w:ascii="宋体" w:hAnsi="宋体" w:eastAsia="宋体" w:cs="宋体"/>
          <w:kern w:val="0"/>
          <w:sz w:val="24"/>
          <w:szCs w:val="24"/>
        </w:rPr>
        <w:t>呼吸系统防护：采取通风、局部排气通风或呼吸防护。</w:t>
      </w:r>
    </w:p>
    <w:p w14:paraId="7FF6E26C">
      <w:pPr>
        <w:widowControl/>
        <w:jc w:val="left"/>
        <w:rPr>
          <w:rFonts w:ascii="宋体" w:hAnsi="宋体" w:eastAsia="宋体" w:cs="宋体"/>
          <w:kern w:val="0"/>
          <w:sz w:val="24"/>
          <w:szCs w:val="24"/>
        </w:rPr>
      </w:pPr>
      <w:r>
        <w:rPr>
          <w:rFonts w:ascii="宋体" w:hAnsi="宋体" w:eastAsia="宋体" w:cs="宋体"/>
          <w:kern w:val="0"/>
          <w:sz w:val="24"/>
          <w:szCs w:val="24"/>
        </w:rPr>
        <w:t>手防护：防护手套，防护服。</w:t>
      </w:r>
    </w:p>
    <w:p w14:paraId="5363F867">
      <w:pPr>
        <w:widowControl/>
        <w:jc w:val="left"/>
        <w:rPr>
          <w:rFonts w:ascii="宋体" w:hAnsi="宋体" w:eastAsia="宋体" w:cs="宋体"/>
          <w:kern w:val="0"/>
          <w:sz w:val="24"/>
          <w:szCs w:val="24"/>
        </w:rPr>
      </w:pPr>
      <w:r>
        <w:rPr>
          <w:rFonts w:ascii="宋体" w:hAnsi="宋体" w:eastAsia="宋体" w:cs="宋体"/>
          <w:kern w:val="0"/>
          <w:sz w:val="24"/>
          <w:szCs w:val="24"/>
        </w:rPr>
        <w:t>眼睛防护：戴安全眼镜或眼镜防护结合呼吸防护。</w:t>
      </w:r>
    </w:p>
    <w:p w14:paraId="24FF3CAD">
      <w:pPr>
        <w:widowControl/>
        <w:jc w:val="left"/>
        <w:rPr>
          <w:rFonts w:ascii="宋体" w:hAnsi="宋体" w:eastAsia="宋体" w:cs="宋体"/>
          <w:kern w:val="0"/>
          <w:sz w:val="24"/>
          <w:szCs w:val="24"/>
        </w:rPr>
      </w:pPr>
      <w:r>
        <w:rPr>
          <w:rFonts w:ascii="宋体" w:hAnsi="宋体" w:eastAsia="宋体" w:cs="宋体"/>
          <w:kern w:val="0"/>
          <w:sz w:val="24"/>
          <w:szCs w:val="24"/>
        </w:rPr>
        <w:t>皮肤和身体防护：穿防毒物渗透工作服。</w:t>
      </w:r>
    </w:p>
    <w:p w14:paraId="60A073C3">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第9部分 理化特性</w:t>
      </w:r>
    </w:p>
    <w:tbl>
      <w:tblPr>
        <w:tblStyle w:val="12"/>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16"/>
        <w:gridCol w:w="4065"/>
      </w:tblGrid>
      <w:tr w14:paraId="68BC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4216" w:type="dxa"/>
          </w:tcPr>
          <w:p w14:paraId="2C500BB5">
            <w:pPr>
              <w:widowControl/>
              <w:jc w:val="left"/>
              <w:rPr>
                <w:rFonts w:ascii="宋体" w:hAnsi="宋体" w:eastAsia="宋体" w:cs="宋体"/>
                <w:kern w:val="0"/>
                <w:sz w:val="24"/>
                <w:szCs w:val="24"/>
              </w:rPr>
            </w:pPr>
            <w:r>
              <w:rPr>
                <w:rFonts w:ascii="宋体" w:hAnsi="宋体" w:eastAsia="宋体" w:cs="宋体"/>
                <w:b/>
                <w:bCs/>
                <w:kern w:val="0"/>
                <w:sz w:val="19"/>
              </w:rPr>
              <w:t>外观与性状：</w:t>
            </w:r>
            <w:r>
              <w:rPr>
                <w:rFonts w:ascii="宋体" w:hAnsi="宋体" w:eastAsia="宋体" w:cs="宋体"/>
                <w:kern w:val="0"/>
                <w:sz w:val="24"/>
                <w:szCs w:val="24"/>
              </w:rPr>
              <w:t> 无色透明液体</w:t>
            </w:r>
          </w:p>
        </w:tc>
        <w:tc>
          <w:tcPr>
            <w:tcW w:w="4065" w:type="dxa"/>
          </w:tcPr>
          <w:p w14:paraId="6EEC7708">
            <w:pPr>
              <w:widowControl/>
              <w:jc w:val="left"/>
              <w:rPr>
                <w:rFonts w:ascii="宋体" w:hAnsi="宋体" w:eastAsia="宋体" w:cs="宋体"/>
                <w:kern w:val="0"/>
                <w:sz w:val="24"/>
                <w:szCs w:val="24"/>
              </w:rPr>
            </w:pPr>
            <w:r>
              <w:rPr>
                <w:rFonts w:ascii="宋体" w:hAnsi="宋体" w:eastAsia="宋体" w:cs="宋体"/>
                <w:b/>
                <w:bCs/>
                <w:kern w:val="0"/>
                <w:sz w:val="19"/>
              </w:rPr>
              <w:t>气味：</w:t>
            </w:r>
            <w:r>
              <w:rPr>
                <w:rFonts w:ascii="宋体" w:hAnsi="宋体" w:eastAsia="宋体" w:cs="宋体"/>
                <w:kern w:val="0"/>
                <w:sz w:val="24"/>
                <w:szCs w:val="24"/>
              </w:rPr>
              <w:t> 有芳香气味</w:t>
            </w:r>
          </w:p>
        </w:tc>
      </w:tr>
      <w:tr w14:paraId="01B3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4216" w:type="dxa"/>
          </w:tcPr>
          <w:p w14:paraId="729A0C4A">
            <w:pPr>
              <w:widowControl/>
              <w:jc w:val="left"/>
              <w:rPr>
                <w:rFonts w:ascii="宋体" w:hAnsi="宋体" w:eastAsia="宋体" w:cs="宋体"/>
                <w:kern w:val="0"/>
                <w:sz w:val="24"/>
                <w:szCs w:val="24"/>
              </w:rPr>
            </w:pPr>
            <w:r>
              <w:rPr>
                <w:rFonts w:ascii="宋体" w:hAnsi="宋体" w:eastAsia="宋体" w:cs="宋体"/>
                <w:b/>
                <w:bCs/>
                <w:kern w:val="0"/>
                <w:sz w:val="19"/>
              </w:rPr>
              <w:t>pH值：</w:t>
            </w:r>
            <w:r>
              <w:rPr>
                <w:rFonts w:ascii="宋体" w:hAnsi="宋体" w:eastAsia="宋体" w:cs="宋体"/>
                <w:kern w:val="0"/>
                <w:sz w:val="24"/>
                <w:szCs w:val="24"/>
              </w:rPr>
              <w:t> 无资料</w:t>
            </w:r>
          </w:p>
        </w:tc>
        <w:tc>
          <w:tcPr>
            <w:tcW w:w="4065" w:type="dxa"/>
          </w:tcPr>
          <w:p w14:paraId="60343A8C">
            <w:pPr>
              <w:widowControl/>
              <w:jc w:val="left"/>
              <w:rPr>
                <w:rFonts w:ascii="宋体" w:hAnsi="宋体" w:eastAsia="宋体" w:cs="宋体"/>
                <w:b/>
                <w:bCs/>
                <w:kern w:val="0"/>
                <w:sz w:val="19"/>
              </w:rPr>
            </w:pPr>
            <w:r>
              <w:rPr>
                <w:rFonts w:ascii="宋体" w:hAnsi="宋体" w:eastAsia="宋体" w:cs="宋体"/>
                <w:b/>
                <w:bCs/>
                <w:kern w:val="0"/>
                <w:sz w:val="19"/>
              </w:rPr>
              <w:t>自燃温度（°C）：</w:t>
            </w:r>
            <w:r>
              <w:rPr>
                <w:rFonts w:ascii="宋体" w:hAnsi="宋体" w:eastAsia="宋体" w:cs="宋体"/>
                <w:kern w:val="0"/>
                <w:sz w:val="24"/>
                <w:szCs w:val="24"/>
              </w:rPr>
              <w:t> 605℃</w:t>
            </w:r>
          </w:p>
        </w:tc>
      </w:tr>
      <w:tr w14:paraId="26F6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7" w:hRule="atLeast"/>
        </w:trPr>
        <w:tc>
          <w:tcPr>
            <w:tcW w:w="4216" w:type="dxa"/>
          </w:tcPr>
          <w:p w14:paraId="668BCCE1">
            <w:pPr>
              <w:widowControl/>
              <w:jc w:val="left"/>
              <w:rPr>
                <w:rFonts w:ascii="宋体" w:hAnsi="宋体" w:eastAsia="宋体" w:cs="宋体"/>
                <w:kern w:val="0"/>
                <w:sz w:val="24"/>
                <w:szCs w:val="24"/>
              </w:rPr>
            </w:pPr>
            <w:r>
              <w:rPr>
                <w:rFonts w:ascii="宋体" w:hAnsi="宋体" w:eastAsia="宋体" w:cs="宋体"/>
                <w:b/>
                <w:bCs/>
                <w:kern w:val="0"/>
                <w:sz w:val="19"/>
              </w:rPr>
              <w:t>沸点、初沸点和沸程（°C）：</w:t>
            </w:r>
            <w:r>
              <w:rPr>
                <w:rFonts w:ascii="宋体" w:hAnsi="宋体" w:eastAsia="宋体" w:cs="宋体"/>
                <w:kern w:val="0"/>
                <w:sz w:val="24"/>
                <w:szCs w:val="24"/>
              </w:rPr>
              <w:t> 39.8℃，相对密度(水＝1)1.33，相对蒸气密度（空气＝1）2.93，临界压力6.08MPa，临界温度237℃，蒸气压46.5kPa(20℃)，燃烧热-604.9kJ/mol</w:t>
            </w:r>
          </w:p>
        </w:tc>
        <w:tc>
          <w:tcPr>
            <w:tcW w:w="4065" w:type="dxa"/>
          </w:tcPr>
          <w:p w14:paraId="3DAA6FC6">
            <w:pPr>
              <w:widowControl/>
              <w:jc w:val="left"/>
              <w:rPr>
                <w:rFonts w:ascii="宋体" w:hAnsi="宋体" w:eastAsia="宋体" w:cs="宋体"/>
                <w:kern w:val="0"/>
                <w:sz w:val="24"/>
                <w:szCs w:val="24"/>
              </w:rPr>
            </w:pPr>
            <w:r>
              <w:rPr>
                <w:rFonts w:ascii="宋体" w:hAnsi="宋体" w:eastAsia="宋体" w:cs="宋体"/>
                <w:b/>
                <w:bCs/>
                <w:kern w:val="0"/>
                <w:sz w:val="19"/>
              </w:rPr>
              <w:t>熔点/凝固点（°C）：</w:t>
            </w:r>
            <w:r>
              <w:rPr>
                <w:rFonts w:ascii="宋体" w:hAnsi="宋体" w:eastAsia="宋体" w:cs="宋体"/>
                <w:kern w:val="0"/>
                <w:sz w:val="24"/>
                <w:szCs w:val="24"/>
              </w:rPr>
              <w:t> -95℃，沸点39.8℃，相对密度(水＝1)1.33，相对蒸气密度（空气＝1）2.93，临界压力6.08MPa，临界温度237℃，蒸气压46.5kPa(20℃)，燃烧热-604.9kJ/mol</w:t>
            </w:r>
          </w:p>
        </w:tc>
      </w:tr>
      <w:tr w14:paraId="59DC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4216" w:type="dxa"/>
          </w:tcPr>
          <w:p w14:paraId="45348CCC">
            <w:pPr>
              <w:widowControl/>
              <w:jc w:val="left"/>
              <w:rPr>
                <w:rFonts w:ascii="宋体" w:hAnsi="宋体" w:eastAsia="宋体" w:cs="宋体"/>
                <w:kern w:val="0"/>
                <w:sz w:val="24"/>
                <w:szCs w:val="24"/>
              </w:rPr>
            </w:pPr>
            <w:r>
              <w:rPr>
                <w:rFonts w:ascii="宋体" w:hAnsi="宋体" w:eastAsia="宋体" w:cs="宋体"/>
                <w:b/>
                <w:bCs/>
                <w:kern w:val="0"/>
                <w:sz w:val="19"/>
              </w:rPr>
              <w:t>闪点（°C）：</w:t>
            </w:r>
            <w:r>
              <w:rPr>
                <w:rFonts w:ascii="宋体" w:hAnsi="宋体" w:eastAsia="宋体" w:cs="宋体"/>
                <w:kern w:val="0"/>
                <w:sz w:val="24"/>
                <w:szCs w:val="24"/>
              </w:rPr>
              <w:t> 39-40°C</w:t>
            </w:r>
          </w:p>
        </w:tc>
        <w:tc>
          <w:tcPr>
            <w:tcW w:w="4065" w:type="dxa"/>
          </w:tcPr>
          <w:p w14:paraId="3046754F">
            <w:pPr>
              <w:widowControl/>
              <w:jc w:val="left"/>
              <w:rPr>
                <w:rFonts w:ascii="宋体" w:hAnsi="宋体" w:eastAsia="宋体" w:cs="宋体"/>
                <w:kern w:val="0"/>
                <w:sz w:val="24"/>
                <w:szCs w:val="24"/>
              </w:rPr>
            </w:pPr>
            <w:r>
              <w:rPr>
                <w:rFonts w:ascii="宋体" w:hAnsi="宋体" w:eastAsia="宋体" w:cs="宋体"/>
                <w:b/>
                <w:bCs/>
                <w:kern w:val="0"/>
                <w:sz w:val="19"/>
              </w:rPr>
              <w:t>分解温度（°C）：</w:t>
            </w:r>
            <w:r>
              <w:rPr>
                <w:rFonts w:ascii="宋体" w:hAnsi="宋体" w:eastAsia="宋体" w:cs="宋体"/>
                <w:kern w:val="0"/>
                <w:sz w:val="24"/>
                <w:szCs w:val="24"/>
              </w:rPr>
              <w:t> 无资料</w:t>
            </w:r>
          </w:p>
        </w:tc>
      </w:tr>
      <w:tr w14:paraId="08CF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trPr>
        <w:tc>
          <w:tcPr>
            <w:tcW w:w="4216" w:type="dxa"/>
          </w:tcPr>
          <w:p w14:paraId="6CA02508">
            <w:pPr>
              <w:widowControl/>
              <w:jc w:val="left"/>
              <w:rPr>
                <w:rFonts w:ascii="宋体" w:hAnsi="宋体" w:eastAsia="宋体" w:cs="宋体"/>
                <w:kern w:val="0"/>
                <w:sz w:val="24"/>
                <w:szCs w:val="24"/>
              </w:rPr>
            </w:pPr>
            <w:r>
              <w:rPr>
                <w:rFonts w:ascii="宋体" w:hAnsi="宋体" w:eastAsia="宋体" w:cs="宋体"/>
                <w:b/>
                <w:bCs/>
                <w:kern w:val="0"/>
                <w:sz w:val="19"/>
              </w:rPr>
              <w:t>爆炸极限［％（体积分数）］：</w:t>
            </w:r>
            <w:r>
              <w:rPr>
                <w:rFonts w:ascii="宋体" w:hAnsi="宋体" w:eastAsia="宋体" w:cs="宋体"/>
                <w:kern w:val="0"/>
                <w:sz w:val="24"/>
                <w:szCs w:val="24"/>
              </w:rPr>
              <w:t> 空气中12%～25%（体积）</w:t>
            </w:r>
          </w:p>
        </w:tc>
        <w:tc>
          <w:tcPr>
            <w:tcW w:w="4065" w:type="dxa"/>
          </w:tcPr>
          <w:p w14:paraId="7676EF7B">
            <w:pPr>
              <w:widowControl/>
              <w:jc w:val="left"/>
              <w:rPr>
                <w:rFonts w:ascii="宋体" w:hAnsi="宋体" w:eastAsia="宋体" w:cs="宋体"/>
                <w:kern w:val="0"/>
                <w:sz w:val="24"/>
                <w:szCs w:val="24"/>
              </w:rPr>
            </w:pPr>
            <w:r>
              <w:rPr>
                <w:rFonts w:ascii="宋体" w:hAnsi="宋体" w:eastAsia="宋体" w:cs="宋体"/>
                <w:b/>
                <w:bCs/>
                <w:kern w:val="0"/>
                <w:sz w:val="19"/>
              </w:rPr>
              <w:t>蒸发速率［乙酸（正）丁酯以1计］：</w:t>
            </w:r>
            <w:r>
              <w:rPr>
                <w:rFonts w:ascii="宋体" w:hAnsi="宋体" w:eastAsia="宋体" w:cs="宋体"/>
                <w:kern w:val="0"/>
                <w:sz w:val="24"/>
                <w:szCs w:val="24"/>
              </w:rPr>
              <w:t> 无资料</w:t>
            </w:r>
          </w:p>
        </w:tc>
      </w:tr>
      <w:tr w14:paraId="6ACD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trPr>
        <w:tc>
          <w:tcPr>
            <w:tcW w:w="4216" w:type="dxa"/>
          </w:tcPr>
          <w:p w14:paraId="3E4A3969">
            <w:pPr>
              <w:widowControl/>
              <w:jc w:val="left"/>
              <w:rPr>
                <w:rFonts w:ascii="宋体" w:hAnsi="宋体" w:eastAsia="宋体" w:cs="宋体"/>
                <w:kern w:val="0"/>
                <w:sz w:val="24"/>
                <w:szCs w:val="24"/>
              </w:rPr>
            </w:pPr>
            <w:r>
              <w:rPr>
                <w:rFonts w:ascii="宋体" w:hAnsi="宋体" w:eastAsia="宋体" w:cs="宋体"/>
                <w:b/>
                <w:bCs/>
                <w:kern w:val="0"/>
                <w:sz w:val="19"/>
              </w:rPr>
              <w:t>饱合蒸气压（kPa）：</w:t>
            </w:r>
            <w:r>
              <w:rPr>
                <w:rFonts w:ascii="宋体" w:hAnsi="宋体" w:eastAsia="宋体" w:cs="宋体"/>
                <w:kern w:val="0"/>
                <w:sz w:val="24"/>
                <w:szCs w:val="24"/>
              </w:rPr>
              <w:t> 46.5kPa(20℃)，燃烧热-604.9kJ/mol</w:t>
            </w:r>
          </w:p>
        </w:tc>
        <w:tc>
          <w:tcPr>
            <w:tcW w:w="4065" w:type="dxa"/>
          </w:tcPr>
          <w:p w14:paraId="6455A56C">
            <w:pPr>
              <w:widowControl/>
              <w:jc w:val="left"/>
              <w:rPr>
                <w:rFonts w:ascii="宋体" w:hAnsi="宋体" w:eastAsia="宋体" w:cs="宋体"/>
                <w:kern w:val="0"/>
                <w:sz w:val="24"/>
                <w:szCs w:val="24"/>
              </w:rPr>
            </w:pPr>
            <w:r>
              <w:rPr>
                <w:rFonts w:ascii="宋体" w:hAnsi="宋体" w:eastAsia="宋体" w:cs="宋体"/>
                <w:b/>
                <w:bCs/>
                <w:kern w:val="0"/>
                <w:sz w:val="19"/>
              </w:rPr>
              <w:t>易燃性（固体、气体）：</w:t>
            </w:r>
            <w:r>
              <w:rPr>
                <w:rFonts w:ascii="宋体" w:hAnsi="宋体" w:eastAsia="宋体" w:cs="宋体"/>
                <w:kern w:val="0"/>
                <w:sz w:val="24"/>
                <w:szCs w:val="24"/>
              </w:rPr>
              <w:t> 无资料</w:t>
            </w:r>
          </w:p>
        </w:tc>
      </w:tr>
      <w:tr w14:paraId="720C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trPr>
        <w:tc>
          <w:tcPr>
            <w:tcW w:w="4216" w:type="dxa"/>
          </w:tcPr>
          <w:p w14:paraId="7114B04A">
            <w:pPr>
              <w:widowControl/>
              <w:jc w:val="left"/>
              <w:rPr>
                <w:rFonts w:ascii="宋体" w:hAnsi="宋体" w:eastAsia="宋体" w:cs="宋体"/>
                <w:kern w:val="0"/>
                <w:sz w:val="24"/>
                <w:szCs w:val="24"/>
              </w:rPr>
            </w:pPr>
            <w:r>
              <w:rPr>
                <w:rFonts w:ascii="宋体" w:hAnsi="宋体" w:eastAsia="宋体" w:cs="宋体"/>
                <w:b/>
                <w:bCs/>
                <w:kern w:val="0"/>
                <w:sz w:val="19"/>
              </w:rPr>
              <w:t>相对密度(水以1计)：</w:t>
            </w:r>
            <w:r>
              <w:rPr>
                <w:rFonts w:ascii="宋体" w:hAnsi="宋体" w:eastAsia="宋体" w:cs="宋体"/>
                <w:kern w:val="0"/>
                <w:sz w:val="24"/>
                <w:szCs w:val="24"/>
              </w:rPr>
              <w:t> 1.325 g/mL at 25 °C(lit.)</w:t>
            </w:r>
          </w:p>
        </w:tc>
        <w:tc>
          <w:tcPr>
            <w:tcW w:w="4065" w:type="dxa"/>
          </w:tcPr>
          <w:p w14:paraId="2C9148B4">
            <w:pPr>
              <w:widowControl/>
              <w:jc w:val="left"/>
              <w:rPr>
                <w:rFonts w:ascii="宋体" w:hAnsi="宋体" w:eastAsia="宋体" w:cs="宋体"/>
                <w:kern w:val="0"/>
                <w:sz w:val="24"/>
                <w:szCs w:val="24"/>
              </w:rPr>
            </w:pPr>
            <w:r>
              <w:rPr>
                <w:rFonts w:ascii="宋体" w:hAnsi="宋体" w:eastAsia="宋体" w:cs="宋体"/>
                <w:b/>
                <w:bCs/>
                <w:kern w:val="0"/>
                <w:sz w:val="19"/>
              </w:rPr>
              <w:t>蒸气密度（空气以1计）：</w:t>
            </w:r>
            <w:r>
              <w:rPr>
                <w:rFonts w:ascii="宋体" w:hAnsi="宋体" w:eastAsia="宋体" w:cs="宋体"/>
                <w:kern w:val="0"/>
                <w:sz w:val="24"/>
                <w:szCs w:val="24"/>
              </w:rPr>
              <w:t> 2.93，临界压力6.08MPa，临界温度237℃，蒸气压46.5kPa(20℃)，燃烧热-604.9kJ/mol</w:t>
            </w:r>
          </w:p>
        </w:tc>
      </w:tr>
      <w:tr w14:paraId="13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trPr>
        <w:tc>
          <w:tcPr>
            <w:tcW w:w="4216" w:type="dxa"/>
          </w:tcPr>
          <w:p w14:paraId="27BD9036">
            <w:pPr>
              <w:widowControl/>
              <w:jc w:val="left"/>
              <w:rPr>
                <w:rFonts w:ascii="宋体" w:hAnsi="宋体" w:eastAsia="宋体" w:cs="宋体"/>
                <w:kern w:val="0"/>
                <w:sz w:val="24"/>
                <w:szCs w:val="24"/>
              </w:rPr>
            </w:pPr>
            <w:r>
              <w:rPr>
                <w:rFonts w:ascii="宋体" w:hAnsi="宋体" w:eastAsia="宋体" w:cs="宋体"/>
                <w:b/>
                <w:bCs/>
                <w:kern w:val="0"/>
                <w:sz w:val="19"/>
              </w:rPr>
              <w:t>气味阈值（mg/m³）：</w:t>
            </w:r>
            <w:r>
              <w:rPr>
                <w:rFonts w:ascii="宋体" w:hAnsi="宋体" w:eastAsia="宋体" w:cs="宋体"/>
                <w:kern w:val="0"/>
                <w:sz w:val="24"/>
                <w:szCs w:val="24"/>
              </w:rPr>
              <w:t> 无资料</w:t>
            </w:r>
          </w:p>
        </w:tc>
        <w:tc>
          <w:tcPr>
            <w:tcW w:w="4065" w:type="dxa"/>
          </w:tcPr>
          <w:p w14:paraId="538C7A6C">
            <w:pPr>
              <w:widowControl/>
              <w:jc w:val="left"/>
              <w:rPr>
                <w:rFonts w:ascii="宋体" w:hAnsi="宋体" w:eastAsia="宋体" w:cs="宋体"/>
                <w:kern w:val="0"/>
                <w:sz w:val="24"/>
                <w:szCs w:val="24"/>
              </w:rPr>
            </w:pPr>
            <w:r>
              <w:rPr>
                <w:rFonts w:ascii="宋体" w:hAnsi="宋体" w:eastAsia="宋体" w:cs="宋体"/>
                <w:b/>
                <w:bCs/>
                <w:kern w:val="0"/>
                <w:sz w:val="19"/>
              </w:rPr>
              <w:t>n-辛醇/水分配系数（lg P）：</w:t>
            </w:r>
            <w:r>
              <w:rPr>
                <w:rFonts w:ascii="宋体" w:hAnsi="宋体" w:eastAsia="宋体" w:cs="宋体"/>
                <w:kern w:val="0"/>
                <w:sz w:val="24"/>
                <w:szCs w:val="24"/>
              </w:rPr>
              <w:t> 1.25</w:t>
            </w:r>
          </w:p>
        </w:tc>
      </w:tr>
      <w:tr w14:paraId="79CF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8" w:hRule="atLeast"/>
        </w:trPr>
        <w:tc>
          <w:tcPr>
            <w:tcW w:w="4216" w:type="dxa"/>
          </w:tcPr>
          <w:p w14:paraId="14C76185">
            <w:pPr>
              <w:widowControl/>
              <w:jc w:val="left"/>
              <w:rPr>
                <w:rFonts w:ascii="宋体" w:hAnsi="宋体" w:eastAsia="宋体" w:cs="宋体"/>
                <w:kern w:val="0"/>
                <w:sz w:val="24"/>
                <w:szCs w:val="24"/>
              </w:rPr>
            </w:pPr>
            <w:r>
              <w:rPr>
                <w:rFonts w:ascii="宋体" w:hAnsi="宋体" w:eastAsia="宋体" w:cs="宋体"/>
                <w:b/>
                <w:bCs/>
                <w:kern w:val="0"/>
                <w:sz w:val="19"/>
              </w:rPr>
              <w:t>溶解性：</w:t>
            </w:r>
            <w:r>
              <w:rPr>
                <w:rFonts w:ascii="宋体" w:hAnsi="宋体" w:eastAsia="宋体" w:cs="宋体"/>
                <w:kern w:val="0"/>
                <w:sz w:val="24"/>
                <w:szCs w:val="24"/>
              </w:rPr>
              <w:t> 微溶于水，溶于乙醇、乙醚等有机溶剂</w:t>
            </w:r>
          </w:p>
        </w:tc>
        <w:tc>
          <w:tcPr>
            <w:tcW w:w="4065" w:type="dxa"/>
          </w:tcPr>
          <w:p w14:paraId="6F9BA26A">
            <w:pPr>
              <w:widowControl/>
              <w:jc w:val="left"/>
              <w:rPr>
                <w:rFonts w:ascii="宋体" w:hAnsi="宋体" w:eastAsia="宋体" w:cs="宋体"/>
                <w:kern w:val="0"/>
                <w:sz w:val="24"/>
                <w:szCs w:val="24"/>
              </w:rPr>
            </w:pPr>
            <w:r>
              <w:rPr>
                <w:rFonts w:ascii="宋体" w:hAnsi="宋体" w:eastAsia="宋体" w:cs="宋体"/>
                <w:b/>
                <w:bCs/>
                <w:kern w:val="0"/>
                <w:sz w:val="19"/>
              </w:rPr>
              <w:t>黏度：</w:t>
            </w:r>
            <w:r>
              <w:rPr>
                <w:rFonts w:ascii="宋体" w:hAnsi="宋体" w:eastAsia="宋体" w:cs="宋体"/>
                <w:kern w:val="0"/>
                <w:sz w:val="24"/>
                <w:szCs w:val="24"/>
              </w:rPr>
              <w:t> 无资料</w:t>
            </w:r>
          </w:p>
        </w:tc>
      </w:tr>
    </w:tbl>
    <w:p w14:paraId="4874C32D">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第10部分 稳定性和反应性</w:t>
      </w:r>
    </w:p>
    <w:p w14:paraId="7F5AB242">
      <w:pPr>
        <w:widowControl/>
        <w:jc w:val="left"/>
        <w:rPr>
          <w:rFonts w:ascii="宋体" w:hAnsi="宋体" w:eastAsia="宋体" w:cs="宋体"/>
          <w:kern w:val="0"/>
          <w:sz w:val="24"/>
          <w:szCs w:val="24"/>
        </w:rPr>
      </w:pPr>
      <w:r>
        <w:rPr>
          <w:rFonts w:ascii="宋体" w:hAnsi="宋体" w:eastAsia="宋体" w:cs="宋体"/>
          <w:b/>
          <w:bCs/>
          <w:kern w:val="0"/>
          <w:sz w:val="19"/>
        </w:rPr>
        <w:t>稳定性：</w:t>
      </w:r>
      <w:r>
        <w:rPr>
          <w:rFonts w:ascii="宋体" w:hAnsi="宋体" w:eastAsia="宋体" w:cs="宋体"/>
          <w:kern w:val="0"/>
          <w:sz w:val="24"/>
          <w:szCs w:val="24"/>
        </w:rPr>
        <w:t> 正常环境温度下储存和使用，本品稳定。</w:t>
      </w:r>
    </w:p>
    <w:p w14:paraId="1DD4E536">
      <w:pPr>
        <w:widowControl/>
        <w:jc w:val="left"/>
        <w:rPr>
          <w:rFonts w:ascii="宋体" w:hAnsi="宋体" w:eastAsia="宋体" w:cs="宋体"/>
          <w:kern w:val="0"/>
          <w:sz w:val="24"/>
          <w:szCs w:val="24"/>
        </w:rPr>
      </w:pPr>
      <w:r>
        <w:rPr>
          <w:rFonts w:ascii="宋体" w:hAnsi="宋体" w:eastAsia="宋体" w:cs="宋体"/>
          <w:b/>
          <w:bCs/>
          <w:kern w:val="0"/>
          <w:sz w:val="19"/>
        </w:rPr>
        <w:t>危险反应：</w:t>
      </w:r>
      <w:r>
        <w:rPr>
          <w:rFonts w:ascii="宋体" w:hAnsi="宋体" w:eastAsia="宋体" w:cs="宋体"/>
          <w:kern w:val="0"/>
          <w:sz w:val="24"/>
          <w:szCs w:val="24"/>
        </w:rPr>
        <w:t> 与活泼金属（锂、钠、钾、铝、镁）、强碱（叔丁醇钾）、强氧化剂发生剧烈反应。与硝酸、四氧化二氮混合会发生爆炸</w:t>
      </w:r>
    </w:p>
    <w:p w14:paraId="3C8BB076">
      <w:pPr>
        <w:widowControl/>
        <w:jc w:val="left"/>
        <w:rPr>
          <w:rFonts w:ascii="宋体" w:hAnsi="宋体" w:eastAsia="宋体" w:cs="宋体"/>
          <w:kern w:val="0"/>
          <w:sz w:val="24"/>
          <w:szCs w:val="24"/>
        </w:rPr>
      </w:pPr>
      <w:r>
        <w:rPr>
          <w:rFonts w:ascii="宋体" w:hAnsi="宋体" w:eastAsia="宋体" w:cs="宋体"/>
          <w:b/>
          <w:bCs/>
          <w:kern w:val="0"/>
          <w:sz w:val="19"/>
        </w:rPr>
        <w:t>避免接触的条件：</w:t>
      </w:r>
      <w:r>
        <w:rPr>
          <w:rFonts w:ascii="宋体" w:hAnsi="宋体" w:eastAsia="宋体" w:cs="宋体"/>
          <w:kern w:val="0"/>
          <w:sz w:val="24"/>
          <w:szCs w:val="24"/>
        </w:rPr>
        <w:t> 静电放电、热、潮湿等。</w:t>
      </w:r>
    </w:p>
    <w:p w14:paraId="07728873">
      <w:pPr>
        <w:widowControl/>
        <w:jc w:val="left"/>
        <w:rPr>
          <w:rFonts w:ascii="宋体" w:hAnsi="宋体" w:eastAsia="宋体" w:cs="宋体"/>
          <w:kern w:val="0"/>
          <w:sz w:val="24"/>
          <w:szCs w:val="24"/>
        </w:rPr>
      </w:pPr>
      <w:r>
        <w:rPr>
          <w:rFonts w:ascii="宋体" w:hAnsi="宋体" w:eastAsia="宋体" w:cs="宋体"/>
          <w:b/>
          <w:bCs/>
          <w:kern w:val="0"/>
          <w:sz w:val="19"/>
        </w:rPr>
        <w:t>禁配物：</w:t>
      </w:r>
      <w:r>
        <w:rPr>
          <w:rFonts w:ascii="宋体" w:hAnsi="宋体" w:eastAsia="宋体" w:cs="宋体"/>
          <w:kern w:val="0"/>
          <w:sz w:val="24"/>
          <w:szCs w:val="24"/>
        </w:rPr>
        <w:t> 碱金属、铝</w:t>
      </w:r>
    </w:p>
    <w:p w14:paraId="21BC2E6C">
      <w:pPr>
        <w:widowControl/>
        <w:jc w:val="left"/>
        <w:rPr>
          <w:rFonts w:ascii="宋体" w:hAnsi="宋体" w:eastAsia="宋体" w:cs="宋体"/>
          <w:kern w:val="0"/>
          <w:sz w:val="24"/>
          <w:szCs w:val="24"/>
        </w:rPr>
      </w:pPr>
      <w:r>
        <w:rPr>
          <w:rFonts w:ascii="宋体" w:hAnsi="宋体" w:eastAsia="宋体" w:cs="宋体"/>
          <w:b/>
          <w:bCs/>
          <w:kern w:val="0"/>
          <w:sz w:val="19"/>
        </w:rPr>
        <w:t>危险的分解产物：</w:t>
      </w:r>
      <w:r>
        <w:rPr>
          <w:rFonts w:ascii="宋体" w:hAnsi="宋体" w:eastAsia="宋体" w:cs="宋体"/>
          <w:kern w:val="0"/>
          <w:sz w:val="24"/>
          <w:szCs w:val="24"/>
        </w:rPr>
        <w:t> 无资料。</w:t>
      </w:r>
    </w:p>
    <w:p w14:paraId="5E7DCB9E">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第11部分 毒理学信息</w:t>
      </w:r>
    </w:p>
    <w:p w14:paraId="15F34A6D">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急性毒性：</w:t>
      </w:r>
    </w:p>
    <w:p w14:paraId="0937D1A6">
      <w:pPr>
        <w:widowControl/>
        <w:jc w:val="left"/>
        <w:rPr>
          <w:rFonts w:ascii="宋体" w:hAnsi="宋体" w:eastAsia="宋体" w:cs="宋体"/>
          <w:kern w:val="0"/>
          <w:sz w:val="24"/>
          <w:szCs w:val="24"/>
        </w:rPr>
      </w:pPr>
      <w:r>
        <w:rPr>
          <w:rFonts w:ascii="宋体" w:hAnsi="宋体" w:eastAsia="宋体" w:cs="宋体"/>
          <w:kern w:val="0"/>
          <w:sz w:val="24"/>
          <w:szCs w:val="24"/>
        </w:rPr>
        <w:t>经口: LD50 Rat oral 1600 mg/kg</w:t>
      </w:r>
    </w:p>
    <w:p w14:paraId="4E7971E0">
      <w:pPr>
        <w:widowControl/>
        <w:jc w:val="left"/>
        <w:rPr>
          <w:rFonts w:ascii="宋体" w:hAnsi="宋体" w:eastAsia="宋体" w:cs="宋体"/>
          <w:kern w:val="0"/>
          <w:sz w:val="24"/>
          <w:szCs w:val="24"/>
        </w:rPr>
      </w:pPr>
      <w:r>
        <w:rPr>
          <w:rFonts w:ascii="宋体" w:hAnsi="宋体" w:eastAsia="宋体" w:cs="宋体"/>
          <w:kern w:val="0"/>
          <w:sz w:val="24"/>
          <w:szCs w:val="24"/>
        </w:rPr>
        <w:t>吸入: LC50 Mouse inhalation 16000 ppm/7 hr plus 1 hr observation</w:t>
      </w:r>
    </w:p>
    <w:p w14:paraId="0FEF7E95">
      <w:pPr>
        <w:widowControl/>
        <w:jc w:val="left"/>
        <w:rPr>
          <w:rFonts w:ascii="宋体" w:hAnsi="宋体" w:eastAsia="宋体" w:cs="宋体"/>
          <w:kern w:val="0"/>
          <w:sz w:val="24"/>
          <w:szCs w:val="24"/>
        </w:rPr>
      </w:pPr>
      <w:r>
        <w:rPr>
          <w:rFonts w:ascii="宋体" w:hAnsi="宋体" w:eastAsia="宋体" w:cs="宋体"/>
          <w:kern w:val="0"/>
          <w:sz w:val="24"/>
          <w:szCs w:val="24"/>
        </w:rPr>
        <w:t>经皮: 无资料</w:t>
      </w:r>
    </w:p>
    <w:p w14:paraId="2A3346D4">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皮肤刺激或腐蚀:</w:t>
      </w:r>
    </w:p>
    <w:p w14:paraId="7BC642A1">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7983B7A2">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眼睛刺激或腐蚀：</w:t>
      </w:r>
    </w:p>
    <w:p w14:paraId="7B026C4A">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108EBE69">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呼吸或皮肤过敏：</w:t>
      </w:r>
    </w:p>
    <w:p w14:paraId="4B543D38">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02EEB713">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生殖细胞突变性：</w:t>
      </w:r>
    </w:p>
    <w:p w14:paraId="1A2F20D4">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281CA3B4">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致癌性：</w:t>
      </w:r>
    </w:p>
    <w:p w14:paraId="4FFD8CCC">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081C2693">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生殖毒性：</w:t>
      </w:r>
    </w:p>
    <w:p w14:paraId="12375797">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7BA8A5C3">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特异性靶器官系统毒性——一次接触：</w:t>
      </w:r>
    </w:p>
    <w:p w14:paraId="24ADA532">
      <w:pPr>
        <w:widowControl/>
        <w:jc w:val="left"/>
        <w:rPr>
          <w:rFonts w:ascii="宋体" w:hAnsi="宋体" w:eastAsia="宋体" w:cs="宋体"/>
          <w:kern w:val="0"/>
          <w:sz w:val="24"/>
          <w:szCs w:val="24"/>
        </w:rPr>
      </w:pPr>
      <w:r>
        <w:rPr>
          <w:rFonts w:ascii="宋体" w:hAnsi="宋体" w:eastAsia="宋体" w:cs="宋体"/>
          <w:kern w:val="0"/>
          <w:sz w:val="24"/>
          <w:szCs w:val="24"/>
        </w:rPr>
        <w:t>该物质刺激眼睛、皮肤和呼吸道。 该物质可能对中枢神经系统、血液、肝脏、心脏和肺造成影响。 接触能够造成一氧化碳中毒。 可能导致功能受损。 高浓度接触能够造成意识降低和死亡。 影响可能推迟显现。 如果吞咽，该物质可能引起呕吐，会引起吸入性肺炎。</w:t>
      </w:r>
    </w:p>
    <w:p w14:paraId="2EF68660">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特异性靶器官系统毒性——反复接触：</w:t>
      </w:r>
    </w:p>
    <w:p w14:paraId="0996C5E3">
      <w:pPr>
        <w:widowControl/>
        <w:jc w:val="left"/>
        <w:rPr>
          <w:rFonts w:ascii="宋体" w:hAnsi="宋体" w:eastAsia="宋体" w:cs="宋体"/>
          <w:kern w:val="0"/>
          <w:sz w:val="24"/>
          <w:szCs w:val="24"/>
        </w:rPr>
      </w:pPr>
      <w:r>
        <w:rPr>
          <w:rFonts w:ascii="宋体" w:hAnsi="宋体" w:eastAsia="宋体" w:cs="宋体"/>
          <w:kern w:val="0"/>
          <w:sz w:val="24"/>
          <w:szCs w:val="24"/>
        </w:rPr>
        <w:t>反复或长期与皮肤接触，可能引起皮炎。 该物质可能对中枢神经系统有影响。 该物质可能是人类致癌物。</w:t>
      </w:r>
    </w:p>
    <w:p w14:paraId="2693D63E">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吸入危害：</w:t>
      </w:r>
    </w:p>
    <w:p w14:paraId="61A026D1">
      <w:pPr>
        <w:widowControl/>
        <w:jc w:val="left"/>
        <w:rPr>
          <w:rFonts w:ascii="宋体" w:hAnsi="宋体" w:eastAsia="宋体" w:cs="宋体"/>
          <w:kern w:val="0"/>
          <w:sz w:val="24"/>
          <w:szCs w:val="24"/>
        </w:rPr>
      </w:pPr>
      <w:r>
        <w:rPr>
          <w:rFonts w:ascii="宋体" w:hAnsi="宋体" w:eastAsia="宋体" w:cs="宋体"/>
          <w:kern w:val="0"/>
          <w:sz w:val="24"/>
          <w:szCs w:val="24"/>
        </w:rPr>
        <w:t>20℃时该物质蒸发 非常快地达到空气中有害污染浓度。</w:t>
      </w:r>
    </w:p>
    <w:p w14:paraId="15FA5908">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第12部分 生态学信息</w:t>
      </w:r>
    </w:p>
    <w:p w14:paraId="0B9CB015">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生态毒性：</w:t>
      </w:r>
    </w:p>
    <w:p w14:paraId="4732CB53">
      <w:pPr>
        <w:widowControl/>
        <w:jc w:val="left"/>
        <w:rPr>
          <w:rFonts w:ascii="宋体" w:hAnsi="宋体" w:eastAsia="宋体" w:cs="宋体"/>
          <w:kern w:val="0"/>
          <w:sz w:val="24"/>
          <w:szCs w:val="24"/>
        </w:rPr>
      </w:pPr>
      <w:r>
        <w:rPr>
          <w:rFonts w:ascii="宋体" w:hAnsi="宋体" w:eastAsia="宋体" w:cs="宋体"/>
          <w:kern w:val="0"/>
          <w:sz w:val="24"/>
          <w:szCs w:val="24"/>
        </w:rPr>
        <w:t>鱼类急性毒性试验: LC50; Species: Danio rerio (Zebra danio); Conditions: freshwater, flow through, 23 deg C, pH 8.15; Concentration: 254000 ug/L for 48 hr /formulation</w:t>
      </w:r>
    </w:p>
    <w:p w14:paraId="3482F5A2">
      <w:pPr>
        <w:widowControl/>
        <w:jc w:val="left"/>
        <w:rPr>
          <w:rFonts w:ascii="宋体" w:hAnsi="宋体" w:eastAsia="宋体" w:cs="宋体"/>
          <w:kern w:val="0"/>
          <w:sz w:val="24"/>
          <w:szCs w:val="24"/>
        </w:rPr>
      </w:pPr>
      <w:r>
        <w:rPr>
          <w:rFonts w:ascii="宋体" w:hAnsi="宋体" w:eastAsia="宋体" w:cs="宋体"/>
          <w:kern w:val="0"/>
          <w:sz w:val="24"/>
          <w:szCs w:val="24"/>
        </w:rPr>
        <w:t>溞类急性活动抑制试验: LC50; Species: Daphnia magna (Water flea) age &lt; or =24 hr; Conditions: freshwater, static, 22 deg C, pH 7.4-9.4, dissolved oxygen 6.5-9.1 mg/L; Concentration: 310000 ug/L for 24 hr (95% confidence interval: 280000-340000 ug/L) /&gt; or =80% purity</w:t>
      </w:r>
    </w:p>
    <w:p w14:paraId="4FFC5DF8">
      <w:pPr>
        <w:widowControl/>
        <w:jc w:val="left"/>
        <w:rPr>
          <w:rFonts w:ascii="宋体" w:hAnsi="宋体" w:eastAsia="宋体" w:cs="宋体"/>
          <w:kern w:val="0"/>
          <w:sz w:val="24"/>
          <w:szCs w:val="24"/>
        </w:rPr>
      </w:pPr>
      <w:r>
        <w:rPr>
          <w:rFonts w:ascii="宋体" w:hAnsi="宋体" w:eastAsia="宋体" w:cs="宋体"/>
          <w:kern w:val="0"/>
          <w:sz w:val="24"/>
          <w:szCs w:val="24"/>
        </w:rPr>
        <w:t>藻类生长抑制试验: 无资料</w:t>
      </w:r>
    </w:p>
    <w:p w14:paraId="7834720D">
      <w:pPr>
        <w:widowControl/>
        <w:jc w:val="left"/>
        <w:rPr>
          <w:rFonts w:ascii="宋体" w:hAnsi="宋体" w:eastAsia="宋体" w:cs="宋体"/>
          <w:kern w:val="0"/>
          <w:sz w:val="24"/>
          <w:szCs w:val="24"/>
        </w:rPr>
      </w:pPr>
      <w:r>
        <w:rPr>
          <w:rFonts w:ascii="宋体" w:hAnsi="宋体" w:eastAsia="宋体" w:cs="宋体"/>
          <w:kern w:val="0"/>
          <w:sz w:val="24"/>
          <w:szCs w:val="24"/>
        </w:rPr>
        <w:t>对微生物的毒性: 无资料</w:t>
      </w:r>
    </w:p>
    <w:p w14:paraId="40D19F02">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持久性和降解性：</w:t>
      </w:r>
    </w:p>
    <w:p w14:paraId="682FFC77">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12C5564C">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生物富集或生物积累性：</w:t>
      </w:r>
    </w:p>
    <w:p w14:paraId="17FC4C1E">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23E7FC4A">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土壤中的迁移性：</w:t>
      </w:r>
    </w:p>
    <w:p w14:paraId="2AECDF4D">
      <w:pPr>
        <w:widowControl/>
        <w:jc w:val="left"/>
        <w:rPr>
          <w:rFonts w:ascii="宋体" w:hAnsi="宋体" w:eastAsia="宋体" w:cs="宋体"/>
          <w:kern w:val="0"/>
          <w:sz w:val="24"/>
          <w:szCs w:val="24"/>
        </w:rPr>
      </w:pPr>
      <w:r>
        <w:rPr>
          <w:rFonts w:ascii="宋体" w:hAnsi="宋体" w:eastAsia="宋体" w:cs="宋体"/>
          <w:kern w:val="0"/>
          <w:sz w:val="24"/>
          <w:szCs w:val="24"/>
        </w:rPr>
        <w:t>无资料。</w:t>
      </w:r>
    </w:p>
    <w:p w14:paraId="5D528B3D">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第13部分 废弃处置</w:t>
      </w:r>
    </w:p>
    <w:p w14:paraId="40752F58">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废弃化学品：</w:t>
      </w:r>
    </w:p>
    <w:p w14:paraId="663B8976">
      <w:pPr>
        <w:widowControl/>
        <w:jc w:val="left"/>
        <w:rPr>
          <w:rFonts w:ascii="宋体" w:hAnsi="宋体" w:eastAsia="宋体" w:cs="宋体"/>
          <w:kern w:val="0"/>
          <w:sz w:val="24"/>
          <w:szCs w:val="24"/>
        </w:rPr>
      </w:pPr>
      <w:r>
        <w:rPr>
          <w:rFonts w:ascii="宋体" w:hAnsi="宋体" w:eastAsia="宋体" w:cs="宋体"/>
          <w:kern w:val="0"/>
          <w:sz w:val="24"/>
          <w:szCs w:val="24"/>
        </w:rPr>
        <w:t>尽可能回收利用。</w:t>
      </w:r>
    </w:p>
    <w:p w14:paraId="1BB33560">
      <w:pPr>
        <w:widowControl/>
        <w:jc w:val="left"/>
        <w:rPr>
          <w:rFonts w:ascii="宋体" w:hAnsi="宋体" w:eastAsia="宋体" w:cs="宋体"/>
          <w:kern w:val="0"/>
          <w:sz w:val="24"/>
          <w:szCs w:val="24"/>
        </w:rPr>
      </w:pPr>
      <w:r>
        <w:rPr>
          <w:rFonts w:ascii="宋体" w:hAnsi="宋体" w:eastAsia="宋体" w:cs="宋体"/>
          <w:kern w:val="0"/>
          <w:sz w:val="24"/>
          <w:szCs w:val="24"/>
        </w:rPr>
        <w:t>如果不能回收利用，采用焚烧方法进行处置。</w:t>
      </w:r>
    </w:p>
    <w:p w14:paraId="1F570C32">
      <w:pPr>
        <w:widowControl/>
        <w:jc w:val="left"/>
        <w:rPr>
          <w:rFonts w:ascii="宋体" w:hAnsi="宋体" w:eastAsia="宋体" w:cs="宋体"/>
          <w:kern w:val="0"/>
          <w:sz w:val="24"/>
          <w:szCs w:val="24"/>
        </w:rPr>
      </w:pPr>
      <w:r>
        <w:rPr>
          <w:rFonts w:ascii="宋体" w:hAnsi="宋体" w:eastAsia="宋体" w:cs="宋体"/>
          <w:kern w:val="0"/>
          <w:sz w:val="24"/>
          <w:szCs w:val="24"/>
        </w:rPr>
        <w:t>不得采用排放到下水道的方式废 弃处置本品。</w:t>
      </w:r>
    </w:p>
    <w:p w14:paraId="6504E91D">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污染包装物：</w:t>
      </w:r>
    </w:p>
    <w:p w14:paraId="4A947B19">
      <w:pPr>
        <w:widowControl/>
        <w:jc w:val="left"/>
        <w:rPr>
          <w:rFonts w:ascii="宋体" w:hAnsi="宋体" w:eastAsia="宋体" w:cs="宋体"/>
          <w:kern w:val="0"/>
          <w:sz w:val="24"/>
          <w:szCs w:val="24"/>
        </w:rPr>
      </w:pPr>
      <w:r>
        <w:rPr>
          <w:rFonts w:ascii="宋体" w:hAnsi="宋体" w:eastAsia="宋体" w:cs="宋体"/>
          <w:kern w:val="0"/>
          <w:sz w:val="24"/>
          <w:szCs w:val="24"/>
        </w:rPr>
        <w:t>将容器返还生产商或按照国家和地方法规处置。</w:t>
      </w:r>
    </w:p>
    <w:p w14:paraId="29C53B35">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废弃注意事项：</w:t>
      </w:r>
    </w:p>
    <w:p w14:paraId="3AF1B1A3">
      <w:pPr>
        <w:widowControl/>
        <w:jc w:val="left"/>
        <w:rPr>
          <w:rFonts w:ascii="宋体" w:hAnsi="宋体" w:eastAsia="宋体" w:cs="宋体"/>
          <w:kern w:val="0"/>
          <w:sz w:val="24"/>
          <w:szCs w:val="24"/>
        </w:rPr>
      </w:pPr>
      <w:r>
        <w:rPr>
          <w:rFonts w:ascii="宋体" w:hAnsi="宋体" w:eastAsia="宋体" w:cs="宋体"/>
          <w:kern w:val="0"/>
          <w:sz w:val="24"/>
          <w:szCs w:val="24"/>
        </w:rPr>
        <w:t>废弃处置前应参阅国家和地方有关法规。</w:t>
      </w:r>
    </w:p>
    <w:p w14:paraId="3C7864CD">
      <w:pPr>
        <w:widowControl/>
        <w:jc w:val="left"/>
        <w:rPr>
          <w:rFonts w:ascii="宋体" w:hAnsi="宋体" w:eastAsia="宋体" w:cs="宋体"/>
          <w:kern w:val="0"/>
          <w:sz w:val="24"/>
          <w:szCs w:val="24"/>
        </w:rPr>
      </w:pPr>
      <w:r>
        <w:rPr>
          <w:rFonts w:ascii="宋体" w:hAnsi="宋体" w:eastAsia="宋体" w:cs="宋体"/>
          <w:kern w:val="0"/>
          <w:sz w:val="24"/>
          <w:szCs w:val="24"/>
        </w:rPr>
        <w:t>处置人员的安全防范措施参见第8部分。</w:t>
      </w:r>
    </w:p>
    <w:p w14:paraId="44E2743E">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第14部分 运输信息</w:t>
      </w:r>
    </w:p>
    <w:p w14:paraId="39AF535E">
      <w:pPr>
        <w:widowControl/>
        <w:jc w:val="left"/>
        <w:rPr>
          <w:rFonts w:ascii="宋体" w:hAnsi="宋体" w:eastAsia="宋体" w:cs="宋体"/>
          <w:kern w:val="0"/>
          <w:sz w:val="24"/>
          <w:szCs w:val="24"/>
        </w:rPr>
      </w:pPr>
      <w:r>
        <w:rPr>
          <w:rFonts w:ascii="宋体" w:hAnsi="宋体" w:eastAsia="宋体" w:cs="宋体"/>
          <w:b/>
          <w:bCs/>
          <w:kern w:val="0"/>
          <w:sz w:val="19"/>
        </w:rPr>
        <w:t>联合国编号危险货物编号(UN号)：</w:t>
      </w:r>
      <w:r>
        <w:rPr>
          <w:rFonts w:ascii="宋体" w:hAnsi="宋体" w:eastAsia="宋体" w:cs="宋体"/>
          <w:kern w:val="0"/>
          <w:sz w:val="24"/>
          <w:szCs w:val="24"/>
        </w:rPr>
        <w:t> UN1593（仅供参考，请核实）</w:t>
      </w:r>
    </w:p>
    <w:p w14:paraId="679DB051">
      <w:pPr>
        <w:widowControl/>
        <w:jc w:val="left"/>
        <w:rPr>
          <w:rFonts w:ascii="宋体" w:hAnsi="宋体" w:eastAsia="宋体" w:cs="宋体"/>
          <w:kern w:val="0"/>
          <w:sz w:val="24"/>
          <w:szCs w:val="24"/>
        </w:rPr>
      </w:pPr>
      <w:r>
        <w:rPr>
          <w:rFonts w:ascii="宋体" w:hAnsi="宋体" w:eastAsia="宋体" w:cs="宋体"/>
          <w:b/>
          <w:bCs/>
          <w:kern w:val="0"/>
          <w:sz w:val="19"/>
        </w:rPr>
        <w:t>联合国运输名称：</w:t>
      </w:r>
      <w:r>
        <w:rPr>
          <w:rFonts w:ascii="宋体" w:hAnsi="宋体" w:eastAsia="宋体" w:cs="宋体"/>
          <w:kern w:val="0"/>
          <w:sz w:val="24"/>
          <w:szCs w:val="24"/>
        </w:rPr>
        <w:t> 二氯甲烷（仅供参考，请核实）</w:t>
      </w:r>
    </w:p>
    <w:p w14:paraId="7B420AFB">
      <w:pPr>
        <w:widowControl/>
        <w:jc w:val="left"/>
        <w:rPr>
          <w:rFonts w:ascii="宋体" w:hAnsi="宋体" w:eastAsia="宋体" w:cs="宋体"/>
          <w:kern w:val="0"/>
          <w:sz w:val="24"/>
          <w:szCs w:val="24"/>
        </w:rPr>
      </w:pPr>
      <w:r>
        <w:rPr>
          <w:rFonts w:ascii="宋体" w:hAnsi="宋体" w:eastAsia="宋体" w:cs="宋体"/>
          <w:b/>
          <w:bCs/>
          <w:kern w:val="0"/>
          <w:sz w:val="19"/>
        </w:rPr>
        <w:t>联合国危险性分类：</w:t>
      </w:r>
      <w:r>
        <w:rPr>
          <w:rFonts w:ascii="宋体" w:hAnsi="宋体" w:eastAsia="宋体" w:cs="宋体"/>
          <w:kern w:val="0"/>
          <w:sz w:val="24"/>
          <w:szCs w:val="24"/>
        </w:rPr>
        <w:t> 6.1（仅供参考，请核实）</w:t>
      </w:r>
    </w:p>
    <w:p w14:paraId="7CCE3E16">
      <w:pPr>
        <w:widowControl/>
        <w:jc w:val="left"/>
        <w:rPr>
          <w:rFonts w:ascii="宋体" w:hAnsi="宋体" w:eastAsia="宋体" w:cs="宋体"/>
          <w:kern w:val="0"/>
          <w:sz w:val="24"/>
          <w:szCs w:val="24"/>
        </w:rPr>
      </w:pPr>
      <w:r>
        <w:rPr>
          <w:rFonts w:ascii="宋体" w:hAnsi="宋体" w:eastAsia="宋体" w:cs="宋体"/>
          <w:b/>
          <w:bCs/>
          <w:kern w:val="0"/>
          <w:sz w:val="19"/>
        </w:rPr>
        <w:t>包装类别：</w:t>
      </w:r>
      <w:r>
        <w:rPr>
          <w:rFonts w:ascii="宋体" w:hAnsi="宋体" w:eastAsia="宋体" w:cs="宋体"/>
          <w:kern w:val="0"/>
          <w:sz w:val="24"/>
          <w:szCs w:val="24"/>
        </w:rPr>
        <w:t> Ⅲ（仅供参考，请核实）</w:t>
      </w:r>
    </w:p>
    <w:p w14:paraId="2A2628B8">
      <w:pPr>
        <w:widowControl/>
        <w:jc w:val="left"/>
        <w:rPr>
          <w:rFonts w:ascii="宋体" w:hAnsi="宋体" w:eastAsia="宋体" w:cs="宋体"/>
          <w:kern w:val="0"/>
          <w:sz w:val="24"/>
          <w:szCs w:val="24"/>
        </w:rPr>
      </w:pPr>
      <w:r>
        <w:rPr>
          <w:rFonts w:ascii="宋体" w:hAnsi="宋体" w:eastAsia="宋体" w:cs="宋体"/>
          <w:b/>
          <w:bCs/>
          <w:kern w:val="0"/>
          <w:sz w:val="19"/>
        </w:rPr>
        <w:t>包装方法：</w:t>
      </w:r>
      <w:r>
        <w:rPr>
          <w:rFonts w:ascii="宋体" w:hAnsi="宋体" w:eastAsia="宋体" w:cs="宋体"/>
          <w:kern w:val="0"/>
          <w:sz w:val="24"/>
          <w:szCs w:val="24"/>
        </w:rPr>
        <w:t> 按照生产商推荐的方法进行包装，例如：开口钢桶。安瓿瓶外普通木箱。螺纹口玻璃瓶、铁盖压口玻璃瓶、塑料瓶或金属桶（罐）外普通木箱等。</w:t>
      </w:r>
    </w:p>
    <w:p w14:paraId="02A9506B">
      <w:pPr>
        <w:widowControl/>
        <w:jc w:val="left"/>
        <w:rPr>
          <w:rFonts w:ascii="宋体" w:hAnsi="宋体" w:eastAsia="宋体" w:cs="宋体"/>
          <w:kern w:val="0"/>
          <w:sz w:val="24"/>
          <w:szCs w:val="24"/>
        </w:rPr>
      </w:pPr>
      <w:r>
        <w:rPr>
          <w:rFonts w:ascii="宋体" w:hAnsi="宋体" w:eastAsia="宋体" w:cs="宋体"/>
          <w:b/>
          <w:bCs/>
          <w:kern w:val="0"/>
          <w:sz w:val="19"/>
        </w:rPr>
        <w:t>海洋污染物(是/否)：</w:t>
      </w:r>
      <w:r>
        <w:rPr>
          <w:rFonts w:ascii="宋体" w:hAnsi="宋体" w:eastAsia="宋体" w:cs="宋体"/>
          <w:kern w:val="0"/>
          <w:sz w:val="24"/>
          <w:szCs w:val="24"/>
        </w:rPr>
        <w:t> 否</w:t>
      </w:r>
    </w:p>
    <w:p w14:paraId="4A2D0C19">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运输注意事项：</w:t>
      </w:r>
    </w:p>
    <w:p w14:paraId="4582D853">
      <w:pPr>
        <w:widowControl/>
        <w:jc w:val="left"/>
        <w:rPr>
          <w:rFonts w:ascii="宋体" w:hAnsi="宋体" w:eastAsia="宋体" w:cs="宋体"/>
          <w:kern w:val="0"/>
          <w:sz w:val="24"/>
          <w:szCs w:val="24"/>
        </w:rPr>
      </w:pPr>
      <w:r>
        <w:rPr>
          <w:rFonts w:ascii="宋体" w:hAnsi="宋体" w:eastAsia="宋体" w:cs="宋体"/>
          <w:kern w:val="0"/>
          <w:sz w:val="24"/>
          <w:szCs w:val="24"/>
        </w:rPr>
        <w:t>不得与食品和饲料一起运输。</w:t>
      </w:r>
    </w:p>
    <w:p w14:paraId="2E0AC5CD">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第15部分 法规信息</w:t>
      </w:r>
    </w:p>
    <w:p w14:paraId="517F43D9">
      <w:pPr>
        <w:widowControl/>
        <w:jc w:val="left"/>
        <w:rPr>
          <w:rFonts w:ascii="宋体" w:hAnsi="宋体" w:eastAsia="宋体" w:cs="宋体"/>
          <w:kern w:val="0"/>
          <w:sz w:val="24"/>
          <w:szCs w:val="24"/>
        </w:rPr>
      </w:pPr>
      <w:r>
        <w:rPr>
          <w:rFonts w:ascii="宋体" w:hAnsi="宋体" w:eastAsia="宋体" w:cs="宋体"/>
          <w:kern w:val="0"/>
          <w:sz w:val="24"/>
          <w:szCs w:val="24"/>
        </w:rPr>
        <w:t>下列法律、法规、规章和标准，对该化学品的管理作相应的规定:</w:t>
      </w:r>
    </w:p>
    <w:p w14:paraId="04160DE3">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u w:val="single"/>
        </w:rPr>
        <w:t>组分 Dichloromethane CAS: 75-09-2</w:t>
      </w:r>
    </w:p>
    <w:p w14:paraId="67AA0424">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中华人民共和国职业病防止法：</w:t>
      </w:r>
    </w:p>
    <w:p w14:paraId="66DFD1DA">
      <w:pPr>
        <w:widowControl/>
        <w:jc w:val="left"/>
        <w:rPr>
          <w:rFonts w:ascii="宋体" w:hAnsi="宋体" w:eastAsia="宋体" w:cs="宋体"/>
          <w:kern w:val="0"/>
          <w:sz w:val="24"/>
          <w:szCs w:val="24"/>
        </w:rPr>
      </w:pPr>
      <w:r>
        <w:rPr>
          <w:rFonts w:ascii="宋体" w:hAnsi="宋体" w:eastAsia="宋体" w:cs="宋体"/>
          <w:kern w:val="0"/>
          <w:sz w:val="24"/>
          <w:szCs w:val="24"/>
        </w:rPr>
        <w:t>职业病危害因素分类目录(2015): 列入</w:t>
      </w:r>
    </w:p>
    <w:p w14:paraId="3E98990D">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危险化学品安全管理条例：</w:t>
      </w:r>
    </w:p>
    <w:p w14:paraId="4A3F3D2C">
      <w:pPr>
        <w:widowControl/>
        <w:jc w:val="left"/>
        <w:rPr>
          <w:rFonts w:ascii="宋体" w:hAnsi="宋体" w:eastAsia="宋体" w:cs="宋体"/>
          <w:kern w:val="0"/>
          <w:sz w:val="24"/>
          <w:szCs w:val="24"/>
        </w:rPr>
      </w:pPr>
      <w:r>
        <w:rPr>
          <w:rFonts w:ascii="宋体" w:hAnsi="宋体" w:eastAsia="宋体" w:cs="宋体"/>
          <w:kern w:val="0"/>
          <w:sz w:val="24"/>
          <w:szCs w:val="24"/>
        </w:rPr>
        <w:t>危险品化学品目录（2015）: 列入</w:t>
      </w:r>
    </w:p>
    <w:p w14:paraId="14A161E3">
      <w:pPr>
        <w:widowControl/>
        <w:jc w:val="left"/>
        <w:rPr>
          <w:rFonts w:ascii="宋体" w:hAnsi="宋体" w:eastAsia="宋体" w:cs="宋体"/>
          <w:kern w:val="0"/>
          <w:sz w:val="24"/>
          <w:szCs w:val="24"/>
        </w:rPr>
      </w:pPr>
      <w:r>
        <w:rPr>
          <w:rFonts w:ascii="宋体" w:hAnsi="宋体" w:eastAsia="宋体" w:cs="宋体"/>
          <w:kern w:val="0"/>
          <w:sz w:val="24"/>
          <w:szCs w:val="24"/>
        </w:rPr>
        <w:t>易制爆危险化学品名录（2017）: 未列入</w:t>
      </w:r>
    </w:p>
    <w:p w14:paraId="7DFC98A8">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重点监管的危险化学品名录：</w:t>
      </w:r>
    </w:p>
    <w:p w14:paraId="3367945E">
      <w:pPr>
        <w:widowControl/>
        <w:jc w:val="left"/>
        <w:rPr>
          <w:rFonts w:ascii="宋体" w:hAnsi="宋体" w:eastAsia="宋体" w:cs="宋体"/>
          <w:kern w:val="0"/>
          <w:sz w:val="24"/>
          <w:szCs w:val="24"/>
        </w:rPr>
      </w:pPr>
      <w:r>
        <w:rPr>
          <w:rFonts w:ascii="宋体" w:hAnsi="宋体" w:eastAsia="宋体" w:cs="宋体"/>
          <w:kern w:val="0"/>
          <w:sz w:val="24"/>
          <w:szCs w:val="24"/>
        </w:rPr>
        <w:t>首批和第二批重点监管的危险化学品名录: 未列入</w:t>
      </w:r>
    </w:p>
    <w:p w14:paraId="058EA28E">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危险化学品环境管理登记办法（试行）：</w:t>
      </w:r>
    </w:p>
    <w:p w14:paraId="14D99E65">
      <w:pPr>
        <w:widowControl/>
        <w:jc w:val="left"/>
        <w:rPr>
          <w:rFonts w:ascii="宋体" w:hAnsi="宋体" w:eastAsia="宋体" w:cs="宋体"/>
          <w:kern w:val="0"/>
          <w:sz w:val="24"/>
          <w:szCs w:val="24"/>
        </w:rPr>
      </w:pPr>
      <w:r>
        <w:rPr>
          <w:rFonts w:ascii="宋体" w:hAnsi="宋体" w:eastAsia="宋体" w:cs="宋体"/>
          <w:kern w:val="0"/>
          <w:sz w:val="24"/>
          <w:szCs w:val="24"/>
        </w:rPr>
        <w:t>重点环境管理危险化学品目录: 未列入</w:t>
      </w:r>
    </w:p>
    <w:p w14:paraId="6DFF3E94">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麻醉药品和精神药品管理条例：</w:t>
      </w:r>
    </w:p>
    <w:p w14:paraId="5E4791DC">
      <w:pPr>
        <w:widowControl/>
        <w:jc w:val="left"/>
        <w:rPr>
          <w:rFonts w:ascii="宋体" w:hAnsi="宋体" w:eastAsia="宋体" w:cs="宋体"/>
          <w:kern w:val="0"/>
          <w:sz w:val="24"/>
          <w:szCs w:val="24"/>
        </w:rPr>
      </w:pPr>
      <w:r>
        <w:rPr>
          <w:rFonts w:ascii="宋体" w:hAnsi="宋体" w:eastAsia="宋体" w:cs="宋体"/>
          <w:kern w:val="0"/>
          <w:sz w:val="24"/>
          <w:szCs w:val="24"/>
        </w:rPr>
        <w:t>麻醉药品品种目录: 未列入</w:t>
      </w:r>
    </w:p>
    <w:p w14:paraId="728231D1">
      <w:pPr>
        <w:widowControl/>
        <w:jc w:val="left"/>
        <w:rPr>
          <w:rFonts w:ascii="宋体" w:hAnsi="宋体" w:eastAsia="宋体" w:cs="宋体"/>
          <w:kern w:val="0"/>
          <w:sz w:val="24"/>
          <w:szCs w:val="24"/>
        </w:rPr>
      </w:pPr>
      <w:r>
        <w:rPr>
          <w:rFonts w:ascii="宋体" w:hAnsi="宋体" w:eastAsia="宋体" w:cs="宋体"/>
          <w:kern w:val="0"/>
          <w:sz w:val="24"/>
          <w:szCs w:val="24"/>
        </w:rPr>
        <w:t>精神药品品种目录: 未列入</w:t>
      </w:r>
    </w:p>
    <w:p w14:paraId="2AB498EB">
      <w:pPr>
        <w:widowControl/>
        <w:jc w:val="left"/>
        <w:outlineLvl w:val="3"/>
        <w:rPr>
          <w:rFonts w:ascii="宋体" w:hAnsi="宋体" w:eastAsia="宋体" w:cs="宋体"/>
          <w:b/>
          <w:bCs/>
          <w:kern w:val="0"/>
          <w:sz w:val="19"/>
          <w:szCs w:val="19"/>
        </w:rPr>
      </w:pPr>
      <w:r>
        <w:rPr>
          <w:rFonts w:ascii="宋体" w:hAnsi="宋体" w:eastAsia="宋体" w:cs="宋体"/>
          <w:b/>
          <w:bCs/>
          <w:kern w:val="0"/>
          <w:sz w:val="19"/>
          <w:szCs w:val="19"/>
        </w:rPr>
        <w:t>新化学物质环境管理办法：</w:t>
      </w:r>
    </w:p>
    <w:p w14:paraId="30C1B24D">
      <w:pPr>
        <w:widowControl/>
        <w:jc w:val="left"/>
        <w:rPr>
          <w:rFonts w:ascii="宋体" w:hAnsi="宋体" w:eastAsia="宋体" w:cs="宋体"/>
          <w:kern w:val="0"/>
          <w:sz w:val="24"/>
          <w:szCs w:val="24"/>
        </w:rPr>
      </w:pPr>
      <w:r>
        <w:rPr>
          <w:rFonts w:ascii="宋体" w:hAnsi="宋体" w:eastAsia="宋体" w:cs="宋体"/>
          <w:kern w:val="0"/>
          <w:sz w:val="24"/>
          <w:szCs w:val="24"/>
        </w:rPr>
        <w:t>中国现有化学物质名录(2013): 列入</w:t>
      </w:r>
    </w:p>
    <w:p w14:paraId="6EEF37AC">
      <w:pPr>
        <w:widowControl/>
        <w:spacing w:before="100" w:beforeAutospacing="1" w:after="100" w:afterAutospacing="1"/>
        <w:jc w:val="center"/>
        <w:outlineLvl w:val="1"/>
        <w:rPr>
          <w:rFonts w:ascii="宋体" w:hAnsi="宋体" w:eastAsia="宋体" w:cs="宋体"/>
          <w:b/>
          <w:bCs/>
          <w:kern w:val="0"/>
          <w:sz w:val="27"/>
          <w:szCs w:val="27"/>
        </w:rPr>
      </w:pPr>
      <w:r>
        <w:rPr>
          <w:rFonts w:ascii="宋体" w:hAnsi="宋体" w:eastAsia="宋体" w:cs="宋体"/>
          <w:b/>
          <w:bCs/>
          <w:kern w:val="0"/>
          <w:sz w:val="27"/>
          <w:szCs w:val="27"/>
        </w:rPr>
        <w:t>第16部分 其他信息</w:t>
      </w:r>
    </w:p>
    <w:p w14:paraId="3AE33F31">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编写和修订信息：</w:t>
      </w:r>
    </w:p>
    <w:p w14:paraId="0ACC76B0">
      <w:pPr>
        <w:widowControl/>
        <w:jc w:val="left"/>
        <w:rPr>
          <w:rFonts w:ascii="宋体" w:hAnsi="宋体" w:eastAsia="宋体" w:cs="宋体"/>
          <w:kern w:val="0"/>
          <w:sz w:val="24"/>
          <w:szCs w:val="24"/>
        </w:rPr>
      </w:pPr>
      <w:r>
        <w:rPr>
          <w:rFonts w:ascii="宋体" w:hAnsi="宋体" w:eastAsia="宋体" w:cs="宋体"/>
          <w:kern w:val="0"/>
          <w:sz w:val="24"/>
          <w:szCs w:val="24"/>
        </w:rPr>
        <w:t>本版为第1.0版，按照GB/T 16483-2008、GB/T 17519-2013、GB 30000系列分类标准编制。</w:t>
      </w:r>
    </w:p>
    <w:p w14:paraId="435A1C8A">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参考文献：</w:t>
      </w:r>
    </w:p>
    <w:p w14:paraId="2E44B377">
      <w:pPr>
        <w:widowControl/>
        <w:jc w:val="left"/>
        <w:rPr>
          <w:rFonts w:ascii="宋体" w:hAnsi="宋体" w:eastAsia="宋体" w:cs="宋体"/>
          <w:kern w:val="0"/>
          <w:sz w:val="24"/>
          <w:szCs w:val="24"/>
        </w:rPr>
      </w:pPr>
      <w:r>
        <w:rPr>
          <w:rFonts w:ascii="宋体" w:hAnsi="宋体" w:eastAsia="宋体" w:cs="宋体"/>
          <w:kern w:val="0"/>
          <w:sz w:val="24"/>
          <w:szCs w:val="24"/>
        </w:rPr>
        <w:t>【1】国际化学品安全规划署：国际化学品安全卡（ICSC），网址：http://www.ilo.org/dyn/icsc/showcard.home。</w:t>
      </w:r>
    </w:p>
    <w:p w14:paraId="25D0406A">
      <w:pPr>
        <w:widowControl/>
        <w:jc w:val="left"/>
        <w:rPr>
          <w:rFonts w:ascii="宋体" w:hAnsi="宋体" w:eastAsia="宋体" w:cs="宋体"/>
          <w:kern w:val="0"/>
          <w:sz w:val="24"/>
          <w:szCs w:val="24"/>
        </w:rPr>
      </w:pPr>
      <w:r>
        <w:rPr>
          <w:rFonts w:ascii="宋体" w:hAnsi="宋体" w:eastAsia="宋体" w:cs="宋体"/>
          <w:kern w:val="0"/>
          <w:sz w:val="24"/>
          <w:szCs w:val="24"/>
        </w:rPr>
        <w:t>【2】国际癌症研究机构，网址：http://www.iarc.fr/。</w:t>
      </w:r>
    </w:p>
    <w:p w14:paraId="55AEA6C5">
      <w:pPr>
        <w:widowControl/>
        <w:jc w:val="left"/>
        <w:rPr>
          <w:rFonts w:ascii="宋体" w:hAnsi="宋体" w:eastAsia="宋体" w:cs="宋体"/>
          <w:kern w:val="0"/>
          <w:sz w:val="24"/>
          <w:szCs w:val="24"/>
        </w:rPr>
      </w:pPr>
      <w:r>
        <w:rPr>
          <w:rFonts w:ascii="宋体" w:hAnsi="宋体" w:eastAsia="宋体" w:cs="宋体"/>
          <w:kern w:val="0"/>
          <w:sz w:val="24"/>
          <w:szCs w:val="24"/>
        </w:rPr>
        <w:t>【3】OECD 全球化学品信息平台，网址：http://www.echemportal.org/echemportal/index?pageID=0&amp;request_locale=en。</w:t>
      </w:r>
    </w:p>
    <w:p w14:paraId="5534EED5">
      <w:pPr>
        <w:widowControl/>
        <w:jc w:val="left"/>
        <w:rPr>
          <w:rFonts w:ascii="宋体" w:hAnsi="宋体" w:eastAsia="宋体" w:cs="宋体"/>
          <w:kern w:val="0"/>
          <w:sz w:val="24"/>
          <w:szCs w:val="24"/>
        </w:rPr>
      </w:pPr>
      <w:r>
        <w:rPr>
          <w:rFonts w:ascii="宋体" w:hAnsi="宋体" w:eastAsia="宋体" w:cs="宋体"/>
          <w:kern w:val="0"/>
          <w:sz w:val="24"/>
          <w:szCs w:val="24"/>
        </w:rPr>
        <w:t>【4】美国 CAMEO 化学物质数据库，网址：http://cameochemicals.noaa.gov/search/simple。</w:t>
      </w:r>
    </w:p>
    <w:p w14:paraId="68B2285B">
      <w:pPr>
        <w:widowControl/>
        <w:jc w:val="left"/>
        <w:rPr>
          <w:rFonts w:ascii="宋体" w:hAnsi="宋体" w:eastAsia="宋体" w:cs="宋体"/>
          <w:kern w:val="0"/>
          <w:sz w:val="24"/>
          <w:szCs w:val="24"/>
        </w:rPr>
      </w:pPr>
      <w:r>
        <w:rPr>
          <w:rFonts w:ascii="宋体" w:hAnsi="宋体" w:eastAsia="宋体" w:cs="宋体"/>
          <w:kern w:val="0"/>
          <w:sz w:val="24"/>
          <w:szCs w:val="24"/>
        </w:rPr>
        <w:t>【5】美国医学图书馆:化学品标识数据库，网址：http://chem.sis.nlm.nih.gov/chemidplus/chemidlite.jsp。</w:t>
      </w:r>
    </w:p>
    <w:p w14:paraId="09759619">
      <w:pPr>
        <w:widowControl/>
        <w:jc w:val="left"/>
        <w:rPr>
          <w:rFonts w:ascii="宋体" w:hAnsi="宋体" w:eastAsia="宋体" w:cs="宋体"/>
          <w:kern w:val="0"/>
          <w:sz w:val="24"/>
          <w:szCs w:val="24"/>
        </w:rPr>
      </w:pPr>
      <w:r>
        <w:rPr>
          <w:rFonts w:ascii="宋体" w:hAnsi="宋体" w:eastAsia="宋体" w:cs="宋体"/>
          <w:kern w:val="0"/>
          <w:sz w:val="24"/>
          <w:szCs w:val="24"/>
        </w:rPr>
        <w:t>【6】美国环境保护署：综合危险性信息系统，网址：http://cfpub.epa.gov/iris/。</w:t>
      </w:r>
    </w:p>
    <w:p w14:paraId="73DA802E">
      <w:pPr>
        <w:widowControl/>
        <w:jc w:val="left"/>
        <w:rPr>
          <w:rFonts w:ascii="宋体" w:hAnsi="宋体" w:eastAsia="宋体" w:cs="宋体"/>
          <w:kern w:val="0"/>
          <w:sz w:val="24"/>
          <w:szCs w:val="24"/>
        </w:rPr>
      </w:pPr>
      <w:r>
        <w:rPr>
          <w:rFonts w:ascii="宋体" w:hAnsi="宋体" w:eastAsia="宋体" w:cs="宋体"/>
          <w:kern w:val="0"/>
          <w:sz w:val="24"/>
          <w:szCs w:val="24"/>
        </w:rPr>
        <w:t>【7】美国交通部：应急响应指南，网址：http://www.phmsa.dot.gov/hazmat/library/erg。</w:t>
      </w:r>
    </w:p>
    <w:p w14:paraId="781A3DC3">
      <w:pPr>
        <w:widowControl/>
        <w:jc w:val="left"/>
        <w:rPr>
          <w:rFonts w:ascii="宋体" w:hAnsi="宋体" w:eastAsia="宋体" w:cs="宋体"/>
          <w:kern w:val="0"/>
          <w:sz w:val="24"/>
          <w:szCs w:val="24"/>
        </w:rPr>
      </w:pPr>
      <w:r>
        <w:rPr>
          <w:rFonts w:ascii="宋体" w:hAnsi="宋体" w:eastAsia="宋体" w:cs="宋体"/>
          <w:kern w:val="0"/>
          <w:sz w:val="24"/>
          <w:szCs w:val="24"/>
        </w:rPr>
        <w:t>【8】德国GESTIS-有害物质数据库，网址：http://gestis-en.itrust.de/。</w:t>
      </w:r>
    </w:p>
    <w:p w14:paraId="190EE313">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缩略语和首字母缩写：</w:t>
      </w:r>
    </w:p>
    <w:p w14:paraId="027B93C9">
      <w:pPr>
        <w:widowControl/>
        <w:jc w:val="left"/>
        <w:rPr>
          <w:rFonts w:ascii="宋体" w:hAnsi="宋体" w:eastAsia="宋体" w:cs="宋体"/>
          <w:kern w:val="0"/>
          <w:sz w:val="24"/>
          <w:szCs w:val="24"/>
        </w:rPr>
      </w:pPr>
      <w:r>
        <w:rPr>
          <w:rFonts w:ascii="宋体" w:hAnsi="宋体" w:eastAsia="宋体" w:cs="宋体"/>
          <w:kern w:val="0"/>
          <w:sz w:val="24"/>
          <w:szCs w:val="24"/>
        </w:rPr>
        <w:t>MAC:最高容许浓度(maximum allowable concentration)， 指工作地点、在一个工作日内、任何时间有毒化学物质均不应超过的浓度。</w:t>
      </w:r>
    </w:p>
    <w:p w14:paraId="63B55785">
      <w:pPr>
        <w:widowControl/>
        <w:jc w:val="left"/>
        <w:rPr>
          <w:rFonts w:ascii="宋体" w:hAnsi="宋体" w:eastAsia="宋体" w:cs="宋体"/>
          <w:kern w:val="0"/>
          <w:sz w:val="24"/>
          <w:szCs w:val="24"/>
        </w:rPr>
      </w:pPr>
      <w:r>
        <w:rPr>
          <w:rFonts w:ascii="宋体" w:hAnsi="宋体" w:eastAsia="宋体" w:cs="宋体"/>
          <w:kern w:val="0"/>
          <w:sz w:val="24"/>
          <w:szCs w:val="24"/>
        </w:rPr>
        <w:t>PC-TWA:时间加权平均容许浓度(permissible concentration-time weighted average)， 指以时间为权数规定的8 h工作日、40 h工作周的平均容许接触浓度。</w:t>
      </w:r>
    </w:p>
    <w:p w14:paraId="1E09A630">
      <w:pPr>
        <w:widowControl/>
        <w:jc w:val="left"/>
        <w:rPr>
          <w:rFonts w:ascii="宋体" w:hAnsi="宋体" w:eastAsia="宋体" w:cs="宋体"/>
          <w:kern w:val="0"/>
          <w:sz w:val="24"/>
          <w:szCs w:val="24"/>
        </w:rPr>
      </w:pPr>
      <w:r>
        <w:rPr>
          <w:rFonts w:ascii="宋体" w:hAnsi="宋体" w:eastAsia="宋体" w:cs="宋体"/>
          <w:kern w:val="0"/>
          <w:sz w:val="24"/>
          <w:szCs w:val="24"/>
        </w:rPr>
        <w:t>PC-STEL:短时间接触容许浓度(permissible concentration-short term exposure limit)， 指在遵守PC-TWA前提下允许短时间(15 min)接触的浓度。</w:t>
      </w:r>
    </w:p>
    <w:p w14:paraId="2F1EBFD8">
      <w:pPr>
        <w:widowControl/>
        <w:jc w:val="left"/>
        <w:outlineLvl w:val="2"/>
        <w:rPr>
          <w:rFonts w:ascii="宋体" w:hAnsi="宋体" w:eastAsia="宋体" w:cs="宋体"/>
          <w:b/>
          <w:bCs/>
          <w:kern w:val="0"/>
          <w:sz w:val="19"/>
          <w:szCs w:val="19"/>
        </w:rPr>
      </w:pPr>
      <w:r>
        <w:rPr>
          <w:rFonts w:ascii="宋体" w:hAnsi="宋体" w:eastAsia="宋体" w:cs="宋体"/>
          <w:b/>
          <w:bCs/>
          <w:kern w:val="0"/>
          <w:sz w:val="19"/>
          <w:szCs w:val="19"/>
        </w:rPr>
        <w:t>其他信息：</w:t>
      </w:r>
    </w:p>
    <w:p w14:paraId="05667F86">
      <w:pPr>
        <w:widowControl/>
        <w:jc w:val="left"/>
        <w:rPr>
          <w:rFonts w:ascii="宋体" w:hAnsi="宋体" w:eastAsia="宋体" w:cs="宋体"/>
          <w:kern w:val="0"/>
          <w:sz w:val="24"/>
          <w:szCs w:val="24"/>
        </w:rPr>
      </w:pPr>
      <w:r>
        <w:rPr>
          <w:rFonts w:ascii="宋体" w:hAnsi="宋体" w:eastAsia="宋体" w:cs="宋体"/>
          <w:kern w:val="0"/>
          <w:sz w:val="24"/>
          <w:szCs w:val="24"/>
        </w:rPr>
        <w:t>添加少量易燃物质或增加空气中的氧含量大大增加其可燃性。依接触程度，建议定期体检。超过接触限值时，气味报警不充分。不要在火焰或高温表面附近或焊接时使用。</w:t>
      </w:r>
    </w:p>
    <w:p w14:paraId="1330CE9B">
      <w:pPr>
        <w:widowControl/>
        <w:jc w:val="left"/>
        <w:outlineLvl w:val="2"/>
        <w:rPr>
          <w:rFonts w:ascii="宋体" w:hAnsi="宋体" w:eastAsia="宋体" w:cs="宋体"/>
          <w:b/>
          <w:bCs/>
          <w:i/>
          <w:iCs/>
          <w:kern w:val="0"/>
          <w:sz w:val="19"/>
          <w:szCs w:val="19"/>
        </w:rPr>
      </w:pPr>
      <w:r>
        <w:rPr>
          <w:rFonts w:ascii="宋体" w:hAnsi="宋体" w:eastAsia="宋体" w:cs="宋体"/>
          <w:b/>
          <w:bCs/>
          <w:i/>
          <w:iCs/>
          <w:kern w:val="0"/>
          <w:sz w:val="19"/>
          <w:szCs w:val="19"/>
        </w:rPr>
        <w:t>免责声明：</w:t>
      </w:r>
    </w:p>
    <w:p w14:paraId="45333CCD">
      <w:pPr>
        <w:widowControl/>
        <w:jc w:val="left"/>
        <w:rPr>
          <w:rFonts w:ascii="宋体" w:hAnsi="宋体" w:eastAsia="宋体" w:cs="宋体"/>
          <w:i/>
          <w:iCs/>
          <w:kern w:val="0"/>
          <w:sz w:val="24"/>
          <w:szCs w:val="24"/>
        </w:rPr>
      </w:pPr>
      <w:r>
        <w:rPr>
          <w:rFonts w:ascii="宋体" w:hAnsi="宋体" w:eastAsia="宋体" w:cs="宋体"/>
          <w:i/>
          <w:iCs/>
          <w:kern w:val="0"/>
          <w:sz w:val="24"/>
          <w:szCs w:val="24"/>
        </w:rPr>
        <w:t>本SDS的信息仅适用于所指定的产品，除非特别指明， 对于本产品与其它物质的混合物等情况不适用。 本SDS只为那些受过适当专业训练的该产品的使用人员提供产品使用安全方面的资料。 本SDS的使用者，须对该SDS的适用性作出独立判断。由于使用本SDS所导致的伤害，本SDS的编写者将不负任何责任。</w:t>
      </w:r>
    </w:p>
    <w:p w14:paraId="28847F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F629E"/>
    <w:multiLevelType w:val="multilevel"/>
    <w:tmpl w:val="188F6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3D7F63B5"/>
    <w:multiLevelType w:val="multilevel"/>
    <w:tmpl w:val="3D7F63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MzYzZmU2ZGY0N2UwYjU4MDNiOTcwZDI2MGEzZDcifQ=="/>
  </w:docVars>
  <w:rsids>
    <w:rsidRoot w:val="00DD41C4"/>
    <w:rsid w:val="00013A9F"/>
    <w:rsid w:val="00130187"/>
    <w:rsid w:val="00172196"/>
    <w:rsid w:val="00255AED"/>
    <w:rsid w:val="00336A81"/>
    <w:rsid w:val="004719ED"/>
    <w:rsid w:val="004D52E6"/>
    <w:rsid w:val="00512E04"/>
    <w:rsid w:val="005F3F23"/>
    <w:rsid w:val="00613377"/>
    <w:rsid w:val="006B4B4B"/>
    <w:rsid w:val="00896E59"/>
    <w:rsid w:val="00AC3759"/>
    <w:rsid w:val="00CB2AF0"/>
    <w:rsid w:val="00D8091C"/>
    <w:rsid w:val="00D914D2"/>
    <w:rsid w:val="00DD41C4"/>
    <w:rsid w:val="00ED3C1A"/>
    <w:rsid w:val="1FAF22B4"/>
    <w:rsid w:val="39E31164"/>
    <w:rsid w:val="70D129EC"/>
    <w:rsid w:val="7277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link w:val="2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rPr>
      <w:sz w:val="18"/>
      <w:szCs w:val="18"/>
    </w:rPr>
  </w:style>
  <w:style w:type="paragraph" w:styleId="9">
    <w:name w:val="footer"/>
    <w:basedOn w:val="1"/>
    <w:link w:val="15"/>
    <w:semiHidden/>
    <w:unhideWhenUsed/>
    <w:qFormat/>
    <w:uiPriority w:val="99"/>
    <w:pPr>
      <w:tabs>
        <w:tab w:val="center" w:pos="4153"/>
        <w:tab w:val="right" w:pos="8306"/>
      </w:tabs>
      <w:snapToGrid w:val="0"/>
      <w:jc w:val="left"/>
    </w:pPr>
    <w:rPr>
      <w:sz w:val="18"/>
      <w:szCs w:val="18"/>
    </w:rPr>
  </w:style>
  <w:style w:type="paragraph" w:styleId="10">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3"/>
    <w:link w:val="10"/>
    <w:semiHidden/>
    <w:qFormat/>
    <w:uiPriority w:val="99"/>
    <w:rPr>
      <w:sz w:val="18"/>
      <w:szCs w:val="18"/>
    </w:rPr>
  </w:style>
  <w:style w:type="character" w:customStyle="1" w:styleId="15">
    <w:name w:val="页脚 Char"/>
    <w:basedOn w:val="13"/>
    <w:link w:val="9"/>
    <w:semiHidden/>
    <w:qFormat/>
    <w:uiPriority w:val="99"/>
    <w:rPr>
      <w:sz w:val="18"/>
      <w:szCs w:val="18"/>
    </w:rPr>
  </w:style>
  <w:style w:type="character" w:customStyle="1" w:styleId="16">
    <w:name w:val="标题 1 Char"/>
    <w:basedOn w:val="13"/>
    <w:link w:val="2"/>
    <w:qFormat/>
    <w:uiPriority w:val="9"/>
    <w:rPr>
      <w:rFonts w:ascii="宋体" w:hAnsi="宋体" w:eastAsia="宋体" w:cs="宋体"/>
      <w:b/>
      <w:bCs/>
      <w:kern w:val="36"/>
      <w:sz w:val="48"/>
      <w:szCs w:val="48"/>
    </w:rPr>
  </w:style>
  <w:style w:type="character" w:customStyle="1" w:styleId="17">
    <w:name w:val="标题 2 Char"/>
    <w:basedOn w:val="13"/>
    <w:link w:val="3"/>
    <w:qFormat/>
    <w:uiPriority w:val="9"/>
    <w:rPr>
      <w:rFonts w:ascii="宋体" w:hAnsi="宋体" w:eastAsia="宋体" w:cs="宋体"/>
      <w:b/>
      <w:bCs/>
      <w:kern w:val="0"/>
      <w:sz w:val="36"/>
      <w:szCs w:val="36"/>
    </w:rPr>
  </w:style>
  <w:style w:type="character" w:customStyle="1" w:styleId="18">
    <w:name w:val="标题 3 Char"/>
    <w:basedOn w:val="13"/>
    <w:link w:val="4"/>
    <w:qFormat/>
    <w:uiPriority w:val="9"/>
    <w:rPr>
      <w:rFonts w:ascii="宋体" w:hAnsi="宋体" w:eastAsia="宋体" w:cs="宋体"/>
      <w:b/>
      <w:bCs/>
      <w:kern w:val="0"/>
      <w:sz w:val="27"/>
      <w:szCs w:val="27"/>
    </w:rPr>
  </w:style>
  <w:style w:type="character" w:customStyle="1" w:styleId="19">
    <w:name w:val="标题 4 Char"/>
    <w:basedOn w:val="13"/>
    <w:link w:val="5"/>
    <w:qFormat/>
    <w:uiPriority w:val="9"/>
    <w:rPr>
      <w:rFonts w:ascii="宋体" w:hAnsi="宋体" w:eastAsia="宋体" w:cs="宋体"/>
      <w:b/>
      <w:bCs/>
      <w:kern w:val="0"/>
      <w:sz w:val="24"/>
      <w:szCs w:val="24"/>
    </w:rPr>
  </w:style>
  <w:style w:type="character" w:customStyle="1" w:styleId="20">
    <w:name w:val="标题 5 Char"/>
    <w:basedOn w:val="13"/>
    <w:link w:val="6"/>
    <w:qFormat/>
    <w:uiPriority w:val="9"/>
    <w:rPr>
      <w:rFonts w:ascii="宋体" w:hAnsi="宋体" w:eastAsia="宋体" w:cs="宋体"/>
      <w:b/>
      <w:bCs/>
      <w:kern w:val="0"/>
      <w:sz w:val="20"/>
      <w:szCs w:val="20"/>
    </w:rPr>
  </w:style>
  <w:style w:type="character" w:customStyle="1" w:styleId="21">
    <w:name w:val="标题 6 Char"/>
    <w:basedOn w:val="13"/>
    <w:link w:val="7"/>
    <w:qFormat/>
    <w:uiPriority w:val="9"/>
    <w:rPr>
      <w:rFonts w:ascii="宋体" w:hAnsi="宋体" w:eastAsia="宋体" w:cs="宋体"/>
      <w:b/>
      <w:bCs/>
      <w:kern w:val="0"/>
      <w:sz w:val="15"/>
      <w:szCs w:val="15"/>
    </w:rPr>
  </w:style>
  <w:style w:type="character" w:customStyle="1" w:styleId="22">
    <w:name w:val="h3"/>
    <w:basedOn w:val="13"/>
    <w:qFormat/>
    <w:uiPriority w:val="0"/>
  </w:style>
  <w:style w:type="character" w:customStyle="1" w:styleId="23">
    <w:name w:val="h4"/>
    <w:basedOn w:val="13"/>
    <w:qFormat/>
    <w:uiPriority w:val="0"/>
  </w:style>
  <w:style w:type="character" w:customStyle="1" w:styleId="24">
    <w:name w:val="批注框文本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4152</Words>
  <Characters>5433</Characters>
  <Lines>41</Lines>
  <Paragraphs>11</Paragraphs>
  <TotalTime>9871</TotalTime>
  <ScaleCrop>false</ScaleCrop>
  <LinksUpToDate>false</LinksUpToDate>
  <CharactersWithSpaces>5672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2024-07-26T09:09:00Z</dcterms:created>
  <dc:creator>1</dc:creator>
  <cp:lastModifiedBy>Administrator</cp:lastModifiedBy>
  <dcterms:modified xsi:type="dcterms:W3CDTF">2024-09-10T03:09:32Z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BE0E689AB79D4A5489089212164A5993_12</vt:lpwstr>
  </property>
</Properties>
</file>