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4A281">
      <w:pPr>
        <w:pStyle w:val="4"/>
        <w:rPr>
          <w:rFonts w:ascii="Times New Roman"/>
          <w:sz w:val="20"/>
        </w:rPr>
      </w:pPr>
    </w:p>
    <w:p w14:paraId="3B42A071">
      <w:pPr>
        <w:pStyle w:val="4"/>
        <w:rPr>
          <w:rFonts w:ascii="Times New Roman"/>
          <w:sz w:val="20"/>
        </w:rPr>
      </w:pPr>
    </w:p>
    <w:p w14:paraId="5198D054">
      <w:pPr>
        <w:pStyle w:val="4"/>
        <w:rPr>
          <w:rFonts w:ascii="Times New Roman"/>
          <w:sz w:val="20"/>
        </w:rPr>
      </w:pPr>
    </w:p>
    <w:p w14:paraId="42D924DF">
      <w:pPr>
        <w:spacing w:before="99"/>
        <w:ind w:left="91" w:right="0" w:firstLine="0"/>
        <w:jc w:val="center"/>
        <w:rPr>
          <w:b/>
          <w:sz w:val="112"/>
        </w:rPr>
      </w:pPr>
      <w:r>
        <w:rPr>
          <w:b/>
          <w:w w:val="90"/>
          <w:sz w:val="112"/>
        </w:rPr>
        <w:t>招 标 文 件</w:t>
      </w:r>
    </w:p>
    <w:p w14:paraId="317A8C71">
      <w:pPr>
        <w:pStyle w:val="4"/>
        <w:spacing w:before="4"/>
        <w:rPr>
          <w:b/>
          <w:sz w:val="147"/>
        </w:rPr>
      </w:pPr>
    </w:p>
    <w:p w14:paraId="3C5C1B6A">
      <w:pPr>
        <w:pStyle w:val="3"/>
        <w:ind w:left="19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5.6.24</w:t>
      </w:r>
    </w:p>
    <w:p w14:paraId="6B1A5523">
      <w:pPr>
        <w:spacing w:before="214"/>
        <w:ind w:left="1896" w:right="0" w:firstLine="0"/>
        <w:jc w:val="left"/>
        <w:rPr>
          <w:rFonts w:hint="eastAsia" w:eastAsia="宋体"/>
          <w:sz w:val="32"/>
          <w:lang w:eastAsia="zh-CN"/>
        </w:rPr>
      </w:pPr>
      <w:r>
        <w:rPr>
          <w:sz w:val="32"/>
        </w:rPr>
        <w:t>项目名称：华丹医药</w:t>
      </w:r>
      <w:r>
        <w:rPr>
          <w:rFonts w:hint="eastAsia"/>
          <w:sz w:val="32"/>
          <w:lang w:eastAsia="zh-CN"/>
        </w:rPr>
        <w:t>危险废物委托处置服务项目</w:t>
      </w:r>
    </w:p>
    <w:p w14:paraId="07BCF738">
      <w:pPr>
        <w:pStyle w:val="4"/>
        <w:rPr>
          <w:sz w:val="34"/>
        </w:rPr>
      </w:pPr>
    </w:p>
    <w:p w14:paraId="4BACF5C5">
      <w:pPr>
        <w:pStyle w:val="4"/>
        <w:rPr>
          <w:sz w:val="34"/>
        </w:rPr>
      </w:pPr>
    </w:p>
    <w:p w14:paraId="09815770">
      <w:pPr>
        <w:pStyle w:val="4"/>
        <w:rPr>
          <w:sz w:val="34"/>
        </w:rPr>
      </w:pPr>
    </w:p>
    <w:p w14:paraId="19DA7CDF">
      <w:pPr>
        <w:pStyle w:val="4"/>
        <w:rPr>
          <w:sz w:val="34"/>
        </w:rPr>
      </w:pPr>
    </w:p>
    <w:p w14:paraId="58C63637">
      <w:pPr>
        <w:pStyle w:val="4"/>
        <w:rPr>
          <w:sz w:val="34"/>
        </w:rPr>
      </w:pPr>
    </w:p>
    <w:p w14:paraId="0A7C16FF">
      <w:pPr>
        <w:pStyle w:val="4"/>
        <w:rPr>
          <w:sz w:val="34"/>
        </w:rPr>
      </w:pPr>
    </w:p>
    <w:p w14:paraId="2EBBC7B1">
      <w:pPr>
        <w:pStyle w:val="4"/>
        <w:rPr>
          <w:sz w:val="34"/>
        </w:rPr>
      </w:pPr>
    </w:p>
    <w:p w14:paraId="7B8A3B7B">
      <w:pPr>
        <w:pStyle w:val="4"/>
        <w:spacing w:before="7"/>
        <w:rPr>
          <w:sz w:val="46"/>
        </w:rPr>
      </w:pPr>
    </w:p>
    <w:p w14:paraId="15223A24">
      <w:pPr>
        <w:spacing w:before="0"/>
        <w:ind w:left="1780" w:right="0" w:firstLine="0"/>
        <w:jc w:val="left"/>
        <w:rPr>
          <w:sz w:val="32"/>
        </w:rPr>
      </w:pPr>
      <w:r>
        <w:rPr>
          <w:sz w:val="32"/>
        </w:rPr>
        <w:t>招标机构：湖北华丹医药科技股份有限公司</w:t>
      </w:r>
    </w:p>
    <w:p w14:paraId="35815AB3">
      <w:pPr>
        <w:spacing w:before="214"/>
        <w:ind w:left="4180" w:right="0" w:firstLine="0"/>
        <w:jc w:val="left"/>
        <w:rPr>
          <w:sz w:val="32"/>
        </w:rPr>
      </w:pPr>
      <w:r>
        <w:rPr>
          <w:sz w:val="32"/>
        </w:rPr>
        <w:t>二零二</w:t>
      </w:r>
      <w:r>
        <w:rPr>
          <w:rFonts w:hint="eastAsia"/>
          <w:sz w:val="32"/>
          <w:lang w:eastAsia="zh-CN"/>
        </w:rPr>
        <w:t>四</w:t>
      </w:r>
      <w:r>
        <w:rPr>
          <w:sz w:val="32"/>
        </w:rPr>
        <w:t>年</w:t>
      </w:r>
      <w:r>
        <w:rPr>
          <w:rFonts w:hint="eastAsia"/>
          <w:sz w:val="32"/>
          <w:lang w:eastAsia="zh-CN"/>
        </w:rPr>
        <w:t>六</w:t>
      </w:r>
      <w:r>
        <w:rPr>
          <w:sz w:val="32"/>
        </w:rPr>
        <w:t>月</w:t>
      </w:r>
    </w:p>
    <w:p w14:paraId="462F3951">
      <w:pPr>
        <w:spacing w:after="0"/>
        <w:jc w:val="left"/>
        <w:rPr>
          <w:sz w:val="32"/>
        </w:rPr>
        <w:sectPr>
          <w:footerReference r:id="rId5" w:type="default"/>
          <w:type w:val="continuous"/>
          <w:pgSz w:w="11910" w:h="16840"/>
          <w:pgMar w:top="1580" w:right="860" w:bottom="1160" w:left="1500" w:header="720" w:footer="979" w:gutter="0"/>
          <w:pgNumType w:fmt="decimal" w:start="1"/>
          <w:cols w:space="720" w:num="1"/>
        </w:sectPr>
      </w:pPr>
    </w:p>
    <w:p w14:paraId="3CCF4F12">
      <w:pPr>
        <w:pStyle w:val="4"/>
        <w:spacing w:before="10"/>
        <w:rPr>
          <w:sz w:val="8"/>
        </w:rPr>
      </w:pPr>
    </w:p>
    <w:p w14:paraId="2C3395E6">
      <w:pPr>
        <w:tabs>
          <w:tab w:val="left" w:pos="1892"/>
        </w:tabs>
        <w:spacing w:before="0" w:line="922" w:lineRule="exact"/>
        <w:ind w:left="92" w:right="0" w:firstLine="0"/>
        <w:jc w:val="center"/>
        <w:rPr>
          <w:sz w:val="72"/>
        </w:rPr>
      </w:pPr>
      <w:r>
        <w:rPr>
          <w:sz w:val="72"/>
        </w:rPr>
        <w:t>目</w:t>
      </w:r>
      <w:r>
        <w:rPr>
          <w:sz w:val="72"/>
        </w:rPr>
        <w:tab/>
      </w:r>
      <w:r>
        <w:rPr>
          <w:sz w:val="72"/>
        </w:rPr>
        <w:t>录</w:t>
      </w:r>
    </w:p>
    <w:p w14:paraId="36501038">
      <w:pPr>
        <w:pStyle w:val="4"/>
        <w:spacing w:before="1"/>
        <w:rPr>
          <w:sz w:val="94"/>
        </w:rPr>
      </w:pPr>
    </w:p>
    <w:p w14:paraId="41A6A862">
      <w:pPr>
        <w:pStyle w:val="2"/>
        <w:tabs>
          <w:tab w:val="left" w:pos="2702"/>
        </w:tabs>
        <w:spacing w:before="0"/>
      </w:pPr>
      <w:r>
        <w:t>第一章</w:t>
      </w:r>
      <w:r>
        <w:tab/>
      </w:r>
      <w:r>
        <w:t>投标邀请</w:t>
      </w:r>
    </w:p>
    <w:p w14:paraId="78469170">
      <w:pPr>
        <w:tabs>
          <w:tab w:val="left" w:pos="2702"/>
        </w:tabs>
        <w:spacing w:before="214"/>
        <w:ind w:left="619" w:right="0" w:firstLine="0"/>
        <w:jc w:val="left"/>
        <w:rPr>
          <w:b/>
          <w:sz w:val="32"/>
        </w:rPr>
      </w:pPr>
      <w:r>
        <w:rPr>
          <w:b/>
          <w:sz w:val="32"/>
        </w:rPr>
        <w:t>第二章</w:t>
      </w:r>
      <w:r>
        <w:rPr>
          <w:b/>
          <w:sz w:val="32"/>
        </w:rPr>
        <w:tab/>
      </w:r>
      <w:r>
        <w:rPr>
          <w:b/>
          <w:sz w:val="32"/>
        </w:rPr>
        <w:t>投标资料表</w:t>
      </w:r>
    </w:p>
    <w:p w14:paraId="76B893AC">
      <w:pPr>
        <w:tabs>
          <w:tab w:val="left" w:pos="2702"/>
        </w:tabs>
        <w:spacing w:before="214"/>
        <w:ind w:left="619" w:right="0" w:firstLine="0"/>
        <w:jc w:val="left"/>
        <w:rPr>
          <w:b/>
          <w:sz w:val="32"/>
        </w:rPr>
      </w:pPr>
      <w:r>
        <w:rPr>
          <w:b/>
          <w:sz w:val="32"/>
        </w:rPr>
        <w:t>第三章</w:t>
      </w:r>
      <w:r>
        <w:rPr>
          <w:b/>
          <w:sz w:val="32"/>
        </w:rPr>
        <w:tab/>
      </w:r>
      <w:r>
        <w:rPr>
          <w:b/>
          <w:sz w:val="32"/>
        </w:rPr>
        <w:t>合同主要内容及条款</w:t>
      </w:r>
    </w:p>
    <w:p w14:paraId="505E2E69">
      <w:pPr>
        <w:spacing w:after="0"/>
        <w:jc w:val="left"/>
        <w:rPr>
          <w:sz w:val="32"/>
        </w:rPr>
        <w:sectPr>
          <w:pgSz w:w="11910" w:h="16840"/>
          <w:pgMar w:top="1580" w:right="860" w:bottom="1160" w:left="1500" w:header="0" w:footer="979" w:gutter="0"/>
          <w:pgNumType w:fmt="decimal"/>
          <w:cols w:space="720" w:num="1"/>
        </w:sectPr>
      </w:pPr>
    </w:p>
    <w:p w14:paraId="1B2011E5">
      <w:pPr>
        <w:tabs>
          <w:tab w:val="left" w:pos="1534"/>
        </w:tabs>
        <w:spacing w:before="28"/>
        <w:ind w:left="92" w:right="0" w:firstLine="0"/>
        <w:jc w:val="center"/>
        <w:rPr>
          <w:b/>
          <w:sz w:val="32"/>
        </w:rPr>
      </w:pPr>
      <w:r>
        <w:rPr>
          <w:b/>
          <w:sz w:val="32"/>
        </w:rPr>
        <w:t>第一章</w:t>
      </w:r>
      <w:r>
        <w:rPr>
          <w:b/>
          <w:sz w:val="32"/>
        </w:rPr>
        <w:tab/>
      </w:r>
      <w:r>
        <w:rPr>
          <w:b/>
          <w:sz w:val="32"/>
        </w:rPr>
        <w:t>投标邀请</w:t>
      </w:r>
    </w:p>
    <w:p w14:paraId="6E855856">
      <w:pPr>
        <w:pStyle w:val="4"/>
        <w:rPr>
          <w:b/>
          <w:sz w:val="20"/>
        </w:rPr>
      </w:pPr>
    </w:p>
    <w:p w14:paraId="2DC32DBB">
      <w:pPr>
        <w:pStyle w:val="4"/>
        <w:spacing w:before="6"/>
        <w:rPr>
          <w:b/>
          <w:sz w:val="26"/>
        </w:rPr>
      </w:pPr>
    </w:p>
    <w:p w14:paraId="78880315">
      <w:pPr>
        <w:pStyle w:val="4"/>
        <w:spacing w:before="76"/>
        <w:ind w:left="3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5.6.24</w:t>
      </w:r>
    </w:p>
    <w:p w14:paraId="22777232">
      <w:pPr>
        <w:pStyle w:val="4"/>
        <w:spacing w:before="3"/>
        <w:rPr>
          <w:rFonts w:ascii="Times New Roman"/>
          <w:sz w:val="17"/>
        </w:rPr>
      </w:pPr>
    </w:p>
    <w:p w14:paraId="566D7141">
      <w:pPr>
        <w:pStyle w:val="4"/>
        <w:spacing w:before="1"/>
        <w:ind w:left="300"/>
        <w:rPr>
          <w:rFonts w:hint="default" w:ascii="Times New Roman" w:eastAsia="宋体"/>
          <w:lang w:val="en-US" w:eastAsia="zh-CN"/>
        </w:rPr>
      </w:pPr>
      <w:r>
        <w:t>招标公告发布日期：</w:t>
      </w:r>
      <w:r>
        <w:rPr>
          <w:rFonts w:ascii="Times New Roman" w:eastAsia="Times New Roman"/>
        </w:rPr>
        <w:t>202</w:t>
      </w:r>
      <w:r>
        <w:rPr>
          <w:rFonts w:hint="eastAsia" w:ascii="Times New Roman"/>
          <w:lang w:val="en-US" w:eastAsia="zh-CN"/>
        </w:rPr>
        <w:t>5</w:t>
      </w:r>
      <w:r>
        <w:rPr>
          <w:rFonts w:ascii="Times New Roman" w:eastAsia="Times New Roman"/>
        </w:rPr>
        <w:t xml:space="preserve">- </w:t>
      </w:r>
      <w:r>
        <w:rPr>
          <w:rFonts w:hint="eastAsia" w:ascii="Times New Roman"/>
          <w:lang w:val="en-US" w:eastAsia="zh-CN"/>
        </w:rPr>
        <w:t>6</w:t>
      </w:r>
      <w:r>
        <w:rPr>
          <w:rFonts w:ascii="Times New Roman" w:eastAsia="Times New Roman"/>
        </w:rPr>
        <w:t>-</w:t>
      </w:r>
      <w:r>
        <w:rPr>
          <w:rFonts w:hint="eastAsia" w:ascii="Times New Roman"/>
          <w:lang w:val="en-US" w:eastAsia="zh-CN"/>
        </w:rPr>
        <w:t>24</w:t>
      </w:r>
    </w:p>
    <w:p w14:paraId="7F577403">
      <w:pPr>
        <w:pStyle w:val="4"/>
        <w:rPr>
          <w:rFonts w:ascii="Times New Roman"/>
          <w:sz w:val="22"/>
        </w:rPr>
      </w:pPr>
    </w:p>
    <w:p w14:paraId="7541179C">
      <w:pPr>
        <w:pStyle w:val="4"/>
        <w:rPr>
          <w:rFonts w:ascii="Times New Roman"/>
          <w:sz w:val="22"/>
        </w:rPr>
      </w:pPr>
    </w:p>
    <w:p w14:paraId="2ED9CC8B">
      <w:pPr>
        <w:pStyle w:val="4"/>
        <w:spacing w:before="161" w:line="417" w:lineRule="auto"/>
        <w:ind w:left="720" w:right="203" w:hanging="420"/>
      </w:pPr>
      <w:r>
        <w:t>１、湖北华丹医药科技股份有限公司（以下简称</w:t>
      </w:r>
      <w:r>
        <w:rPr>
          <w:rFonts w:ascii="Times New Roman" w:hAnsi="Times New Roman" w:eastAsia="Times New Roman"/>
        </w:rPr>
        <w:t>“</w:t>
      </w:r>
      <w:r>
        <w:t>招标机构</w:t>
      </w:r>
      <w:r>
        <w:rPr>
          <w:rFonts w:ascii="Times New Roman" w:hAnsi="Times New Roman" w:eastAsia="Times New Roman"/>
        </w:rPr>
        <w:t>”</w:t>
      </w:r>
      <w:r>
        <w:t>）就公司</w:t>
      </w:r>
      <w:r>
        <w:rPr>
          <w:rFonts w:ascii="Times New Roman" w:hAnsi="Times New Roman" w:eastAsia="Times New Roman"/>
        </w:rPr>
        <w:t>“</w:t>
      </w:r>
      <w:r>
        <w:t>华丹医药</w:t>
      </w:r>
      <w:r>
        <w:rPr>
          <w:rFonts w:hint="eastAsia" w:ascii="Times New Roman" w:hAnsi="Times New Roman"/>
          <w:lang w:eastAsia="zh-CN"/>
        </w:rPr>
        <w:t>危险废物服务项目</w:t>
      </w:r>
      <w:r>
        <w:rPr>
          <w:rFonts w:ascii="Times New Roman" w:hAnsi="Times New Roman" w:eastAsia="Times New Roman"/>
        </w:rPr>
        <w:t>”</w:t>
      </w:r>
      <w:r>
        <w:t>和有关的服务邀请合格投标人提交</w:t>
      </w:r>
      <w:r>
        <w:rPr>
          <w:b/>
        </w:rPr>
        <w:t>密封投标</w:t>
      </w:r>
      <w:r>
        <w:t>。</w:t>
      </w:r>
    </w:p>
    <w:p w14:paraId="2AB80445">
      <w:pPr>
        <w:pStyle w:val="4"/>
        <w:spacing w:line="417" w:lineRule="auto"/>
        <w:ind w:left="720" w:right="207" w:hanging="420"/>
      </w:pPr>
      <w:r>
        <w:t>２、有意向投标的合格投标人可从湖北华丹医药科技股份有限公司现场得到进一步的信息和查阅招标文件。</w:t>
      </w:r>
    </w:p>
    <w:p w14:paraId="69564CA0">
      <w:pPr>
        <w:pStyle w:val="4"/>
        <w:spacing w:line="417" w:lineRule="auto"/>
        <w:ind w:left="720" w:right="200" w:hanging="420"/>
        <w:jc w:val="both"/>
        <w:rPr>
          <w:b/>
        </w:rPr>
      </w:pPr>
      <w:r>
        <w:rPr>
          <w:rFonts w:hint="eastAsia"/>
          <w:spacing w:val="-9"/>
          <w:lang w:val="en-US" w:eastAsia="zh-CN"/>
        </w:rPr>
        <w:t>3</w:t>
      </w:r>
      <w:r>
        <w:rPr>
          <w:spacing w:val="-9"/>
        </w:rPr>
        <w:t xml:space="preserve">、所有投标书应于 </w:t>
      </w:r>
      <w:r>
        <w:rPr>
          <w:rFonts w:ascii="Times New Roman" w:eastAsia="Times New Roman"/>
        </w:rPr>
        <w:t>202</w:t>
      </w:r>
      <w:r>
        <w:rPr>
          <w:rFonts w:hint="eastAsia" w:ascii="Times New Roman"/>
          <w:lang w:val="en-US" w:eastAsia="zh-CN"/>
        </w:rPr>
        <w:t>5</w:t>
      </w:r>
      <w:r>
        <w:rPr>
          <w:rFonts w:ascii="Times New Roman" w:eastAsia="Times New Roman"/>
        </w:rPr>
        <w:t xml:space="preserve"> </w:t>
      </w:r>
      <w:r>
        <w:t>年</w:t>
      </w:r>
      <w:r>
        <w:rPr>
          <w:u w:val="single"/>
        </w:rPr>
        <w:t xml:space="preserve"> </w:t>
      </w:r>
      <w:r>
        <w:rPr>
          <w:rFonts w:hint="eastAsia" w:ascii="Times New Roman"/>
          <w:u w:val="single"/>
          <w:lang w:val="en-US" w:eastAsia="zh-CN"/>
        </w:rPr>
        <w:t>6</w:t>
      </w:r>
      <w:r>
        <w:t>月</w:t>
      </w:r>
      <w:r>
        <w:rPr>
          <w:rFonts w:hint="eastAsia"/>
          <w:u w:val="single"/>
          <w:lang w:val="en-US" w:eastAsia="zh-CN"/>
        </w:rPr>
        <w:t>30</w:t>
      </w:r>
      <w:r>
        <w:rPr>
          <w:spacing w:val="-13"/>
        </w:rPr>
        <w:t xml:space="preserve">日上午 </w:t>
      </w:r>
      <w:r>
        <w:rPr>
          <w:rFonts w:ascii="Times New Roman" w:eastAsia="Times New Roman"/>
          <w:spacing w:val="-4"/>
        </w:rPr>
        <w:t>8:30</w:t>
      </w:r>
      <w:r>
        <w:rPr>
          <w:spacing w:val="-4"/>
        </w:rPr>
        <w:t>（</w:t>
      </w:r>
      <w:r>
        <w:t>北京时间</w:t>
      </w:r>
      <w:r>
        <w:rPr>
          <w:spacing w:val="-17"/>
        </w:rPr>
        <w:t>）</w:t>
      </w:r>
      <w:r>
        <w:t>前快递到湖北华丹医药科技股份有</w:t>
      </w:r>
      <w:r>
        <w:rPr>
          <w:spacing w:val="-1"/>
          <w:w w:val="99"/>
        </w:rPr>
        <w:t>限公司，标书投递联系人：</w:t>
      </w:r>
      <w:r>
        <w:t>张传娥（收）</w:t>
      </w:r>
      <w:r>
        <w:tab/>
      </w:r>
      <w:r>
        <w:rPr>
          <w:w w:val="95"/>
        </w:rPr>
        <w:t>联系电话：</w:t>
      </w:r>
      <w:r>
        <w:rPr>
          <w:rFonts w:ascii="Times New Roman" w:eastAsia="Times New Roman"/>
          <w:w w:val="95"/>
        </w:rPr>
        <w:t xml:space="preserve">15151145790 </w:t>
      </w:r>
      <w:r>
        <w:rPr>
          <w:w w:val="99"/>
        </w:rPr>
        <w:t>，投递时请在邮寄单</w:t>
      </w:r>
      <w:r>
        <w:t>上</w:t>
      </w:r>
      <w:r>
        <w:rPr>
          <w:b/>
        </w:rPr>
        <w:t>注明：</w:t>
      </w:r>
      <w:r>
        <w:rPr>
          <w:rFonts w:hint="eastAsia"/>
          <w:b/>
          <w:bCs/>
          <w:sz w:val="21"/>
          <w:lang w:eastAsia="zh-CN"/>
        </w:rPr>
        <w:t>危险废物处置</w:t>
      </w:r>
      <w:r>
        <w:rPr>
          <w:b/>
        </w:rPr>
        <w:t>。</w:t>
      </w:r>
    </w:p>
    <w:p w14:paraId="39EA7BA9">
      <w:pPr>
        <w:pStyle w:val="4"/>
        <w:spacing w:line="269" w:lineRule="exact"/>
        <w:ind w:left="720"/>
      </w:pPr>
      <w:r>
        <w:t>招标机构名称：湖北华丹医药科技股份有限公司</w:t>
      </w:r>
    </w:p>
    <w:p w14:paraId="657D5306">
      <w:pPr>
        <w:pStyle w:val="4"/>
        <w:spacing w:before="5"/>
        <w:rPr>
          <w:sz w:val="15"/>
        </w:rPr>
      </w:pPr>
    </w:p>
    <w:p w14:paraId="79806378">
      <w:pPr>
        <w:pStyle w:val="4"/>
        <w:tabs>
          <w:tab w:val="left" w:pos="4185"/>
          <w:tab w:val="left" w:pos="4814"/>
        </w:tabs>
        <w:spacing w:line="417" w:lineRule="auto"/>
        <w:ind w:left="720" w:right="3161"/>
        <w:rPr>
          <w:rFonts w:ascii="Times New Roman" w:eastAsia="Times New Roman"/>
        </w:rPr>
      </w:pPr>
      <w:r>
        <w:t>地址：钟祥市经济开发区西环三路</w:t>
      </w:r>
      <w:r>
        <w:rPr>
          <w:spacing w:val="-53"/>
        </w:rPr>
        <w:t xml:space="preserve"> </w:t>
      </w:r>
      <w:r>
        <w:rPr>
          <w:rFonts w:ascii="Times New Roman" w:eastAsia="Times New Roman"/>
        </w:rPr>
        <w:t>21</w:t>
      </w:r>
      <w:r>
        <w:rPr>
          <w:rFonts w:ascii="Times New Roman" w:eastAsia="Times New Roman"/>
          <w:spacing w:val="-2"/>
        </w:rPr>
        <w:t xml:space="preserve"> </w:t>
      </w:r>
      <w:r>
        <w:t>号</w:t>
      </w:r>
      <w:r>
        <w:tab/>
      </w:r>
      <w:r>
        <w:t>邮 编 ：</w:t>
      </w:r>
      <w:r>
        <w:rPr>
          <w:rFonts w:ascii="Times New Roman" w:eastAsia="Times New Roman"/>
        </w:rPr>
        <w:t xml:space="preserve">431900 </w:t>
      </w:r>
      <w:r>
        <w:t>标书投递联系人：张传娥（收）</w:t>
      </w:r>
      <w:r>
        <w:tab/>
      </w:r>
      <w:r>
        <w:rPr>
          <w:w w:val="95"/>
        </w:rPr>
        <w:t>联系电话：</w:t>
      </w:r>
      <w:r>
        <w:rPr>
          <w:rFonts w:ascii="Times New Roman" w:eastAsia="Times New Roman"/>
          <w:w w:val="95"/>
        </w:rPr>
        <w:t xml:space="preserve">15151145790 </w:t>
      </w:r>
      <w:r>
        <w:t>商务咨询人：</w:t>
      </w:r>
      <w:r>
        <w:rPr>
          <w:rFonts w:hint="eastAsia"/>
          <w:lang w:eastAsia="zh-CN"/>
        </w:rPr>
        <w:t>易健</w:t>
      </w:r>
      <w:r>
        <w:tab/>
      </w:r>
      <w:r>
        <w:rPr>
          <w:w w:val="95"/>
        </w:rPr>
        <w:t>联系电话：</w:t>
      </w:r>
      <w:r>
        <w:rPr>
          <w:rFonts w:hint="eastAsia" w:ascii="Times New Roman"/>
          <w:w w:val="95"/>
          <w:lang w:val="en-US" w:eastAsia="zh-CN"/>
        </w:rPr>
        <w:t>17786759232</w:t>
      </w:r>
    </w:p>
    <w:p w14:paraId="57C9D354">
      <w:pPr>
        <w:pStyle w:val="4"/>
        <w:spacing w:line="269" w:lineRule="exact"/>
        <w:ind w:left="720"/>
        <w:rPr>
          <w:rFonts w:ascii="Times New Roman" w:eastAsia="Times New Roman"/>
        </w:rPr>
      </w:pPr>
      <w:r>
        <w:rPr>
          <w:w w:val="95"/>
        </w:rPr>
        <w:t>技术咨询人：鲁志云</w:t>
      </w:r>
      <w:r>
        <w:rPr>
          <w:rFonts w:hint="eastAsia"/>
          <w:w w:val="95"/>
          <w:lang w:val="en-US" w:eastAsia="zh-CN"/>
        </w:rPr>
        <w:t xml:space="preserve">                 </w:t>
      </w:r>
      <w:r>
        <w:rPr>
          <w:w w:val="95"/>
        </w:rPr>
        <w:t>联系电话：</w:t>
      </w:r>
      <w:r>
        <w:rPr>
          <w:rFonts w:ascii="Times New Roman" w:eastAsia="Times New Roman"/>
          <w:w w:val="95"/>
        </w:rPr>
        <w:t>13972195336</w:t>
      </w:r>
    </w:p>
    <w:p w14:paraId="6ADF82E6">
      <w:pPr>
        <w:spacing w:after="0" w:line="269" w:lineRule="exact"/>
        <w:rPr>
          <w:rFonts w:ascii="Times New Roman" w:eastAsia="Times New Roman"/>
        </w:rPr>
        <w:sectPr>
          <w:pgSz w:w="11910" w:h="16840"/>
          <w:pgMar w:top="1140" w:right="860" w:bottom="1160" w:left="1500" w:header="0" w:footer="979" w:gutter="0"/>
          <w:pgNumType w:fmt="decimal"/>
          <w:cols w:space="720" w:num="1"/>
        </w:sectPr>
      </w:pPr>
    </w:p>
    <w:p w14:paraId="2A90E09F">
      <w:pPr>
        <w:pStyle w:val="4"/>
        <w:rPr>
          <w:rFonts w:ascii="Times New Roman"/>
          <w:sz w:val="24"/>
        </w:rPr>
      </w:pPr>
    </w:p>
    <w:p w14:paraId="739333BA">
      <w:pPr>
        <w:pStyle w:val="4"/>
        <w:spacing w:before="6"/>
        <w:rPr>
          <w:rFonts w:ascii="Times New Roman"/>
          <w:sz w:val="23"/>
        </w:rPr>
      </w:pPr>
    </w:p>
    <w:p w14:paraId="06DD0187">
      <w:pPr>
        <w:spacing w:before="0"/>
        <w:ind w:left="660" w:right="0" w:firstLine="0"/>
        <w:jc w:val="left"/>
        <w:rPr>
          <w:b/>
          <w:sz w:val="24"/>
        </w:rPr>
      </w:pPr>
      <w:r>
        <w:rPr>
          <w:b/>
          <w:sz w:val="24"/>
        </w:rPr>
        <w:t>投标人须知</w:t>
      </w:r>
    </w:p>
    <w:p w14:paraId="641C45B0">
      <w:pPr>
        <w:pStyle w:val="2"/>
        <w:tabs>
          <w:tab w:val="left" w:pos="2263"/>
        </w:tabs>
        <w:spacing w:before="28"/>
        <w:ind w:left="660"/>
      </w:pPr>
      <w:r>
        <w:rPr>
          <w:b w:val="0"/>
        </w:rPr>
        <w:br w:type="column"/>
      </w:r>
      <w:r>
        <w:t>第二章</w:t>
      </w:r>
      <w:r>
        <w:tab/>
      </w:r>
      <w:r>
        <w:t>投标资料表</w:t>
      </w:r>
    </w:p>
    <w:p w14:paraId="7E4AAD94">
      <w:pPr>
        <w:spacing w:after="0"/>
        <w:sectPr>
          <w:pgSz w:w="11910" w:h="16840"/>
          <w:pgMar w:top="1140" w:right="860" w:bottom="1160" w:left="1500" w:header="0" w:footer="979" w:gutter="0"/>
          <w:pgNumType w:fmt="decimal"/>
          <w:cols w:equalWidth="0" w:num="2">
            <w:col w:w="1903" w:space="869"/>
            <w:col w:w="6778"/>
          </w:cols>
        </w:sectPr>
      </w:pPr>
    </w:p>
    <w:tbl>
      <w:tblPr>
        <w:tblStyle w:val="7"/>
        <w:tblW w:w="0" w:type="auto"/>
        <w:tblInd w:w="1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4"/>
        <w:gridCol w:w="3378"/>
        <w:gridCol w:w="736"/>
        <w:gridCol w:w="3921"/>
      </w:tblGrid>
      <w:tr w14:paraId="44703B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bottom w:val="single" w:color="000000" w:sz="6" w:space="0"/>
              <w:right w:val="single" w:color="000000" w:sz="4" w:space="0"/>
            </w:tcBorders>
            <w:noWrap w:val="0"/>
            <w:vAlign w:val="top"/>
          </w:tcPr>
          <w:p w14:paraId="132FE0DA">
            <w:pPr>
              <w:pStyle w:val="11"/>
              <w:spacing w:before="94"/>
              <w:ind w:left="206" w:right="184"/>
              <w:jc w:val="center"/>
              <w:rPr>
                <w:b/>
                <w:sz w:val="21"/>
              </w:rPr>
            </w:pPr>
            <w:r>
              <w:rPr>
                <w:b/>
                <w:sz w:val="21"/>
              </w:rPr>
              <w:t>条款号</w:t>
            </w:r>
          </w:p>
        </w:tc>
        <w:tc>
          <w:tcPr>
            <w:tcW w:w="3378" w:type="dxa"/>
            <w:tcBorders>
              <w:left w:val="single" w:color="000000" w:sz="4" w:space="0"/>
              <w:bottom w:val="single" w:color="000000" w:sz="6" w:space="0"/>
              <w:right w:val="nil"/>
            </w:tcBorders>
            <w:noWrap w:val="0"/>
            <w:vAlign w:val="top"/>
          </w:tcPr>
          <w:p w14:paraId="645C9373">
            <w:pPr>
              <w:pStyle w:val="11"/>
              <w:ind w:left="0"/>
              <w:rPr>
                <w:rFonts w:ascii="Times New Roman"/>
                <w:sz w:val="20"/>
              </w:rPr>
            </w:pPr>
          </w:p>
        </w:tc>
        <w:tc>
          <w:tcPr>
            <w:tcW w:w="736" w:type="dxa"/>
            <w:tcBorders>
              <w:left w:val="nil"/>
              <w:bottom w:val="single" w:color="000000" w:sz="6" w:space="0"/>
              <w:right w:val="nil"/>
            </w:tcBorders>
            <w:noWrap w:val="0"/>
            <w:vAlign w:val="top"/>
          </w:tcPr>
          <w:p w14:paraId="0F3506CF">
            <w:pPr>
              <w:pStyle w:val="11"/>
              <w:spacing w:before="94"/>
              <w:ind w:left="232"/>
              <w:rPr>
                <w:b/>
                <w:sz w:val="21"/>
              </w:rPr>
            </w:pPr>
            <w:r>
              <w:rPr>
                <w:b/>
                <w:w w:val="99"/>
                <w:sz w:val="21"/>
              </w:rPr>
              <w:t>内</w:t>
            </w:r>
          </w:p>
        </w:tc>
        <w:tc>
          <w:tcPr>
            <w:tcW w:w="3921" w:type="dxa"/>
            <w:tcBorders>
              <w:left w:val="nil"/>
              <w:bottom w:val="single" w:color="000000" w:sz="6" w:space="0"/>
            </w:tcBorders>
            <w:noWrap w:val="0"/>
            <w:vAlign w:val="top"/>
          </w:tcPr>
          <w:p w14:paraId="01339A37">
            <w:pPr>
              <w:pStyle w:val="11"/>
              <w:spacing w:before="94"/>
              <w:ind w:left="127"/>
              <w:rPr>
                <w:b/>
                <w:sz w:val="21"/>
              </w:rPr>
            </w:pPr>
            <w:r>
              <w:rPr>
                <w:b/>
                <w:w w:val="99"/>
                <w:sz w:val="21"/>
              </w:rPr>
              <w:t>容</w:t>
            </w:r>
          </w:p>
        </w:tc>
      </w:tr>
      <w:tr w14:paraId="553FA1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top w:val="single" w:color="000000" w:sz="6" w:space="0"/>
              <w:bottom w:val="single" w:color="000000" w:sz="6" w:space="0"/>
              <w:right w:val="nil"/>
            </w:tcBorders>
            <w:noWrap w:val="0"/>
            <w:vAlign w:val="top"/>
          </w:tcPr>
          <w:p w14:paraId="166FDEEF">
            <w:pPr>
              <w:pStyle w:val="11"/>
              <w:ind w:left="0"/>
              <w:rPr>
                <w:rFonts w:ascii="Times New Roman"/>
                <w:sz w:val="20"/>
              </w:rPr>
            </w:pPr>
          </w:p>
        </w:tc>
        <w:tc>
          <w:tcPr>
            <w:tcW w:w="3378" w:type="dxa"/>
            <w:tcBorders>
              <w:top w:val="single" w:color="000000" w:sz="6" w:space="0"/>
              <w:left w:val="nil"/>
              <w:bottom w:val="single" w:color="000000" w:sz="6" w:space="0"/>
              <w:right w:val="nil"/>
            </w:tcBorders>
            <w:noWrap w:val="0"/>
            <w:vAlign w:val="top"/>
          </w:tcPr>
          <w:p w14:paraId="207869B0">
            <w:pPr>
              <w:pStyle w:val="11"/>
              <w:spacing w:before="94"/>
              <w:ind w:left="0" w:right="202"/>
              <w:jc w:val="right"/>
              <w:rPr>
                <w:b/>
                <w:sz w:val="21"/>
              </w:rPr>
            </w:pPr>
            <w:r>
              <w:rPr>
                <w:b/>
                <w:w w:val="99"/>
                <w:sz w:val="21"/>
              </w:rPr>
              <w:t>说</w:t>
            </w:r>
          </w:p>
        </w:tc>
        <w:tc>
          <w:tcPr>
            <w:tcW w:w="736" w:type="dxa"/>
            <w:tcBorders>
              <w:top w:val="single" w:color="000000" w:sz="6" w:space="0"/>
              <w:left w:val="nil"/>
              <w:bottom w:val="single" w:color="000000" w:sz="6" w:space="0"/>
              <w:right w:val="nil"/>
            </w:tcBorders>
            <w:noWrap w:val="0"/>
            <w:vAlign w:val="top"/>
          </w:tcPr>
          <w:p w14:paraId="29F33468">
            <w:pPr>
              <w:pStyle w:val="11"/>
              <w:spacing w:before="94"/>
              <w:ind w:left="426"/>
              <w:rPr>
                <w:b/>
                <w:sz w:val="21"/>
              </w:rPr>
            </w:pPr>
            <w:r>
              <w:rPr>
                <w:b/>
                <w:w w:val="99"/>
                <w:sz w:val="21"/>
              </w:rPr>
              <w:t>明</w:t>
            </w:r>
          </w:p>
        </w:tc>
        <w:tc>
          <w:tcPr>
            <w:tcW w:w="3921" w:type="dxa"/>
            <w:tcBorders>
              <w:top w:val="single" w:color="000000" w:sz="6" w:space="0"/>
              <w:left w:val="nil"/>
              <w:bottom w:val="single" w:color="000000" w:sz="6" w:space="0"/>
            </w:tcBorders>
            <w:noWrap w:val="0"/>
            <w:vAlign w:val="top"/>
          </w:tcPr>
          <w:p w14:paraId="4802CB18">
            <w:pPr>
              <w:pStyle w:val="11"/>
              <w:ind w:left="0"/>
              <w:rPr>
                <w:rFonts w:ascii="Times New Roman"/>
                <w:sz w:val="20"/>
              </w:rPr>
            </w:pPr>
          </w:p>
        </w:tc>
      </w:tr>
      <w:tr w14:paraId="732929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4" w:space="0"/>
            </w:tcBorders>
            <w:noWrap w:val="0"/>
            <w:vAlign w:val="top"/>
          </w:tcPr>
          <w:p w14:paraId="2EE0EBF5">
            <w:pPr>
              <w:pStyle w:val="11"/>
              <w:ind w:left="0"/>
              <w:rPr>
                <w:b/>
                <w:sz w:val="27"/>
              </w:rPr>
            </w:pPr>
          </w:p>
          <w:p w14:paraId="04C33F83">
            <w:pPr>
              <w:pStyle w:val="11"/>
              <w:ind w:left="202" w:right="184"/>
              <w:jc w:val="center"/>
              <w:rPr>
                <w:rFonts w:ascii="Times New Roman"/>
                <w:sz w:val="21"/>
              </w:rPr>
            </w:pPr>
            <w:r>
              <w:rPr>
                <w:rFonts w:ascii="Times New Roman"/>
                <w:sz w:val="21"/>
              </w:rPr>
              <w:t>1.1</w:t>
            </w:r>
          </w:p>
        </w:tc>
        <w:tc>
          <w:tcPr>
            <w:tcW w:w="8035" w:type="dxa"/>
            <w:gridSpan w:val="3"/>
            <w:tcBorders>
              <w:top w:val="single" w:color="000000" w:sz="6" w:space="0"/>
              <w:left w:val="single" w:color="000000" w:sz="4" w:space="0"/>
              <w:bottom w:val="single" w:color="000000" w:sz="6" w:space="0"/>
            </w:tcBorders>
            <w:noWrap w:val="0"/>
            <w:vAlign w:val="top"/>
          </w:tcPr>
          <w:p w14:paraId="03D3BC46">
            <w:pPr>
              <w:pStyle w:val="11"/>
              <w:spacing w:before="20" w:line="278" w:lineRule="auto"/>
              <w:ind w:left="118" w:right="3908"/>
              <w:rPr>
                <w:w w:val="95"/>
                <w:sz w:val="21"/>
              </w:rPr>
            </w:pPr>
            <w:r>
              <w:rPr>
                <w:w w:val="95"/>
                <w:sz w:val="21"/>
              </w:rPr>
              <w:t>业主名称：湖北华丹医药科技股份有限公司</w:t>
            </w:r>
          </w:p>
          <w:p w14:paraId="2AD33E16">
            <w:pPr>
              <w:pStyle w:val="11"/>
              <w:spacing w:before="20" w:line="278" w:lineRule="auto"/>
              <w:ind w:left="118" w:right="3908"/>
              <w:rPr>
                <w:sz w:val="21"/>
              </w:rPr>
            </w:pPr>
            <w:r>
              <w:rPr>
                <w:sz w:val="21"/>
              </w:rPr>
              <w:t>业主地址：湖北钟祥</w:t>
            </w:r>
          </w:p>
          <w:p w14:paraId="32B28899">
            <w:pPr>
              <w:pStyle w:val="11"/>
              <w:spacing w:line="269" w:lineRule="exact"/>
              <w:ind w:left="118"/>
              <w:rPr>
                <w:rFonts w:ascii="Times New Roman" w:eastAsia="Times New Roman"/>
                <w:sz w:val="21"/>
              </w:rPr>
            </w:pPr>
            <w:r>
              <w:rPr>
                <w:sz w:val="21"/>
              </w:rPr>
              <w:t xml:space="preserve">邮编： </w:t>
            </w:r>
            <w:r>
              <w:rPr>
                <w:rFonts w:ascii="Times New Roman" w:eastAsia="Times New Roman"/>
                <w:sz w:val="21"/>
              </w:rPr>
              <w:t>431900</w:t>
            </w:r>
          </w:p>
        </w:tc>
      </w:tr>
      <w:tr w14:paraId="1BB0E7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6" w:space="0"/>
            </w:tcBorders>
            <w:noWrap w:val="0"/>
            <w:vAlign w:val="top"/>
          </w:tcPr>
          <w:p w14:paraId="791C4C05">
            <w:pPr>
              <w:pStyle w:val="11"/>
              <w:spacing w:before="2"/>
              <w:ind w:left="0"/>
              <w:rPr>
                <w:b/>
                <w:sz w:val="27"/>
              </w:rPr>
            </w:pPr>
          </w:p>
          <w:p w14:paraId="430D4B32">
            <w:pPr>
              <w:pStyle w:val="11"/>
              <w:ind w:left="337" w:right="316"/>
              <w:jc w:val="center"/>
              <w:rPr>
                <w:rFonts w:ascii="Times New Roman"/>
                <w:sz w:val="21"/>
              </w:rPr>
            </w:pPr>
            <w:r>
              <w:rPr>
                <w:rFonts w:ascii="Times New Roman"/>
                <w:sz w:val="21"/>
              </w:rPr>
              <w:t>1.2</w:t>
            </w:r>
          </w:p>
        </w:tc>
        <w:tc>
          <w:tcPr>
            <w:tcW w:w="8035" w:type="dxa"/>
            <w:gridSpan w:val="3"/>
            <w:tcBorders>
              <w:top w:val="single" w:color="000000" w:sz="6" w:space="0"/>
              <w:left w:val="single" w:color="000000" w:sz="6" w:space="0"/>
              <w:bottom w:val="single" w:color="000000" w:sz="6" w:space="0"/>
            </w:tcBorders>
            <w:noWrap w:val="0"/>
            <w:vAlign w:val="top"/>
          </w:tcPr>
          <w:p w14:paraId="5566FA85">
            <w:pPr>
              <w:pStyle w:val="11"/>
              <w:spacing w:before="22" w:line="278" w:lineRule="auto"/>
              <w:ind w:right="3316"/>
              <w:rPr>
                <w:sz w:val="21"/>
              </w:rPr>
            </w:pPr>
            <w:r>
              <w:rPr>
                <w:sz w:val="21"/>
              </w:rPr>
              <w:t xml:space="preserve">招标机构名称：湖北华丹医药科技股份有限公司招标机构地址：钟祥市经济开发区西环三路 </w:t>
            </w:r>
            <w:r>
              <w:rPr>
                <w:rFonts w:ascii="Times New Roman" w:eastAsia="Times New Roman"/>
                <w:sz w:val="21"/>
              </w:rPr>
              <w:t xml:space="preserve">21 </w:t>
            </w:r>
            <w:r>
              <w:rPr>
                <w:sz w:val="21"/>
              </w:rPr>
              <w:t>号</w:t>
            </w:r>
          </w:p>
          <w:p w14:paraId="742134F1">
            <w:pPr>
              <w:pStyle w:val="11"/>
              <w:tabs>
                <w:tab w:val="left" w:pos="3264"/>
              </w:tabs>
              <w:spacing w:line="269" w:lineRule="exact"/>
              <w:rPr>
                <w:rFonts w:ascii="Times New Roman" w:eastAsia="Times New Roman"/>
                <w:sz w:val="21"/>
              </w:rPr>
            </w:pPr>
            <w:r>
              <w:rPr>
                <w:sz w:val="21"/>
              </w:rPr>
              <w:t>邮编：</w:t>
            </w:r>
            <w:r>
              <w:rPr>
                <w:rFonts w:ascii="Times New Roman" w:eastAsia="Times New Roman"/>
                <w:sz w:val="21"/>
              </w:rPr>
              <w:t>431900</w:t>
            </w:r>
            <w:r>
              <w:rPr>
                <w:rFonts w:ascii="Times New Roman" w:eastAsia="Times New Roman"/>
                <w:sz w:val="21"/>
              </w:rPr>
              <w:tab/>
            </w:r>
            <w:r>
              <w:rPr>
                <w:sz w:val="21"/>
              </w:rPr>
              <w:t>电话：</w:t>
            </w:r>
            <w:r>
              <w:rPr>
                <w:rFonts w:ascii="Times New Roman" w:eastAsia="Times New Roman"/>
                <w:sz w:val="21"/>
              </w:rPr>
              <w:t>0724-4934818</w:t>
            </w:r>
          </w:p>
        </w:tc>
      </w:tr>
      <w:tr w14:paraId="74D4F4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9119" w:type="dxa"/>
            <w:gridSpan w:val="4"/>
            <w:tcBorders>
              <w:top w:val="single" w:color="000000" w:sz="6" w:space="0"/>
              <w:bottom w:val="single" w:color="000000" w:sz="6" w:space="0"/>
            </w:tcBorders>
            <w:noWrap w:val="0"/>
            <w:vAlign w:val="top"/>
          </w:tcPr>
          <w:p w14:paraId="7776F6E1">
            <w:pPr>
              <w:pStyle w:val="11"/>
              <w:spacing w:before="43"/>
              <w:ind w:left="3590" w:right="3558"/>
              <w:jc w:val="center"/>
              <w:rPr>
                <w:b/>
                <w:sz w:val="21"/>
              </w:rPr>
            </w:pPr>
            <w:r>
              <w:rPr>
                <w:b/>
                <w:sz w:val="21"/>
              </w:rPr>
              <w:t>投标报价</w:t>
            </w:r>
          </w:p>
        </w:tc>
      </w:tr>
      <w:tr w14:paraId="22C2DE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2" w:hRule="atLeast"/>
        </w:trPr>
        <w:tc>
          <w:tcPr>
            <w:tcW w:w="1084" w:type="dxa"/>
            <w:tcBorders>
              <w:top w:val="single" w:color="000000" w:sz="6" w:space="0"/>
              <w:bottom w:val="single" w:color="000000" w:sz="6" w:space="0"/>
              <w:right w:val="single" w:color="000000" w:sz="6" w:space="0"/>
            </w:tcBorders>
            <w:noWrap w:val="0"/>
            <w:vAlign w:val="top"/>
          </w:tcPr>
          <w:p w14:paraId="16859DF9">
            <w:pPr>
              <w:pStyle w:val="11"/>
              <w:ind w:left="0"/>
              <w:rPr>
                <w:b/>
                <w:sz w:val="22"/>
              </w:rPr>
            </w:pPr>
          </w:p>
          <w:p w14:paraId="51AFEF2C">
            <w:pPr>
              <w:pStyle w:val="11"/>
              <w:ind w:left="0"/>
              <w:rPr>
                <w:b/>
                <w:sz w:val="22"/>
              </w:rPr>
            </w:pPr>
          </w:p>
          <w:p w14:paraId="3FC46BC1">
            <w:pPr>
              <w:pStyle w:val="11"/>
              <w:ind w:left="0"/>
              <w:rPr>
                <w:b/>
                <w:sz w:val="22"/>
              </w:rPr>
            </w:pPr>
          </w:p>
          <w:p w14:paraId="7B6F0EA0">
            <w:pPr>
              <w:pStyle w:val="11"/>
              <w:spacing w:before="12"/>
              <w:ind w:left="0"/>
              <w:rPr>
                <w:b/>
                <w:sz w:val="21"/>
              </w:rPr>
            </w:pPr>
          </w:p>
          <w:p w14:paraId="1F314C31">
            <w:pPr>
              <w:pStyle w:val="11"/>
              <w:ind w:left="337" w:right="317"/>
              <w:jc w:val="center"/>
              <w:rPr>
                <w:rFonts w:ascii="Times New Roman"/>
                <w:sz w:val="21"/>
              </w:rPr>
            </w:pPr>
            <w:r>
              <w:rPr>
                <w:rFonts w:ascii="Times New Roman"/>
                <w:sz w:val="21"/>
              </w:rPr>
              <w:t>2.1</w:t>
            </w:r>
          </w:p>
        </w:tc>
        <w:tc>
          <w:tcPr>
            <w:tcW w:w="8035" w:type="dxa"/>
            <w:gridSpan w:val="3"/>
            <w:tcBorders>
              <w:top w:val="single" w:color="000000" w:sz="6" w:space="0"/>
              <w:left w:val="single" w:color="000000" w:sz="6" w:space="0"/>
              <w:bottom w:val="single" w:color="000000" w:sz="6" w:space="0"/>
            </w:tcBorders>
            <w:noWrap w:val="0"/>
            <w:vAlign w:val="top"/>
          </w:tcPr>
          <w:p w14:paraId="3092D39F">
            <w:pPr>
              <w:pStyle w:val="11"/>
              <w:spacing w:before="21"/>
              <w:rPr>
                <w:sz w:val="21"/>
              </w:rPr>
            </w:pPr>
            <w:r>
              <w:rPr>
                <w:sz w:val="21"/>
              </w:rPr>
              <w:t>投标报价：</w:t>
            </w:r>
          </w:p>
          <w:p w14:paraId="725D448D">
            <w:pPr>
              <w:pStyle w:val="11"/>
              <w:spacing w:before="2" w:line="310" w:lineRule="atLeast"/>
              <w:ind w:right="77"/>
              <w:jc w:val="both"/>
              <w:rPr>
                <w:sz w:val="21"/>
              </w:rPr>
            </w:pPr>
            <w:r>
              <w:rPr>
                <w:sz w:val="21"/>
              </w:rPr>
              <w:t>投标人应在投标分项报价表上标明本合同拟提供的所有单价和总价</w:t>
            </w:r>
            <w:r>
              <w:rPr>
                <w:rFonts w:hint="eastAsia"/>
                <w:sz w:val="21"/>
                <w:lang w:eastAsia="zh-CN"/>
              </w:rPr>
              <w:t>，</w:t>
            </w:r>
            <w:r>
              <w:rPr>
                <w:sz w:val="21"/>
              </w:rPr>
              <w:t>投标总价中不得包含招标文件要求以外的内容，否则，在评标时不予核减。投标总价中也不得缺漏招标文件所要求的内容，否则，评标时将有效投标中该项内容的最高价计入其投标总价。</w:t>
            </w:r>
            <w:bookmarkStart w:id="1" w:name="_GoBack"/>
            <w:bookmarkEnd w:id="1"/>
          </w:p>
        </w:tc>
      </w:tr>
      <w:tr w14:paraId="6067CE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84" w:type="dxa"/>
            <w:tcBorders>
              <w:top w:val="single" w:color="000000" w:sz="6" w:space="0"/>
              <w:bottom w:val="single" w:color="000000" w:sz="6" w:space="0"/>
              <w:right w:val="single" w:color="000000" w:sz="6" w:space="0"/>
            </w:tcBorders>
            <w:noWrap w:val="0"/>
            <w:vAlign w:val="top"/>
          </w:tcPr>
          <w:p w14:paraId="56C8B210">
            <w:pPr>
              <w:pStyle w:val="11"/>
              <w:spacing w:before="190"/>
              <w:ind w:left="337" w:right="317"/>
              <w:jc w:val="center"/>
              <w:rPr>
                <w:rFonts w:ascii="Times New Roman"/>
                <w:sz w:val="21"/>
              </w:rPr>
            </w:pPr>
            <w:r>
              <w:rPr>
                <w:rFonts w:ascii="Times New Roman"/>
                <w:sz w:val="21"/>
              </w:rPr>
              <w:t>*2.2</w:t>
            </w:r>
          </w:p>
        </w:tc>
        <w:tc>
          <w:tcPr>
            <w:tcW w:w="8035" w:type="dxa"/>
            <w:gridSpan w:val="3"/>
            <w:tcBorders>
              <w:top w:val="single" w:color="000000" w:sz="6" w:space="0"/>
              <w:left w:val="single" w:color="000000" w:sz="6" w:space="0"/>
              <w:bottom w:val="single" w:color="000000" w:sz="6" w:space="0"/>
            </w:tcBorders>
            <w:noWrap w:val="0"/>
            <w:vAlign w:val="top"/>
          </w:tcPr>
          <w:p w14:paraId="16A68114">
            <w:pPr>
              <w:pStyle w:val="11"/>
              <w:spacing w:before="43"/>
              <w:ind w:left="144"/>
              <w:rPr>
                <w:sz w:val="21"/>
              </w:rPr>
            </w:pPr>
            <w:r>
              <w:rPr>
                <w:sz w:val="21"/>
              </w:rPr>
              <w:t>投标人必须按照投标分项报价表的要求提供分项报价。</w:t>
            </w:r>
          </w:p>
        </w:tc>
      </w:tr>
      <w:tr w14:paraId="765F90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9119" w:type="dxa"/>
            <w:gridSpan w:val="4"/>
            <w:tcBorders>
              <w:top w:val="single" w:color="000000" w:sz="6" w:space="0"/>
              <w:bottom w:val="single" w:color="000000" w:sz="6" w:space="0"/>
            </w:tcBorders>
            <w:noWrap w:val="0"/>
            <w:vAlign w:val="top"/>
          </w:tcPr>
          <w:p w14:paraId="4F741EBC">
            <w:pPr>
              <w:pStyle w:val="11"/>
              <w:spacing w:before="68"/>
              <w:ind w:left="3592" w:right="3558"/>
              <w:jc w:val="center"/>
              <w:rPr>
                <w:b/>
                <w:sz w:val="21"/>
              </w:rPr>
            </w:pPr>
            <w:r>
              <w:rPr>
                <w:b/>
                <w:sz w:val="21"/>
              </w:rPr>
              <w:t>投标书的编制和递交</w:t>
            </w:r>
          </w:p>
        </w:tc>
      </w:tr>
      <w:tr w14:paraId="6335FB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0" w:hRule="atLeast"/>
        </w:trPr>
        <w:tc>
          <w:tcPr>
            <w:tcW w:w="1084" w:type="dxa"/>
            <w:tcBorders>
              <w:top w:val="single" w:color="000000" w:sz="6" w:space="0"/>
              <w:bottom w:val="single" w:color="000000" w:sz="6" w:space="0"/>
              <w:right w:val="single" w:color="000000" w:sz="6" w:space="0"/>
            </w:tcBorders>
            <w:noWrap w:val="0"/>
            <w:vAlign w:val="top"/>
          </w:tcPr>
          <w:p w14:paraId="5497576B">
            <w:pPr>
              <w:pStyle w:val="11"/>
              <w:ind w:left="0"/>
              <w:rPr>
                <w:b/>
                <w:sz w:val="22"/>
              </w:rPr>
            </w:pPr>
          </w:p>
          <w:p w14:paraId="742D8A09">
            <w:pPr>
              <w:pStyle w:val="11"/>
              <w:spacing w:before="10"/>
              <w:ind w:left="0"/>
              <w:jc w:val="both"/>
              <w:rPr>
                <w:b/>
                <w:sz w:val="31"/>
              </w:rPr>
            </w:pPr>
          </w:p>
          <w:p w14:paraId="68CC0625">
            <w:pPr>
              <w:pStyle w:val="11"/>
              <w:spacing w:before="1"/>
              <w:ind w:left="337" w:right="317"/>
              <w:jc w:val="center"/>
              <w:rPr>
                <w:rFonts w:ascii="Times New Roman"/>
                <w:sz w:val="21"/>
              </w:rPr>
            </w:pPr>
            <w:r>
              <w:rPr>
                <w:rFonts w:ascii="Times New Roman"/>
                <w:sz w:val="21"/>
              </w:rPr>
              <w:t>*3.1</w:t>
            </w:r>
          </w:p>
        </w:tc>
        <w:tc>
          <w:tcPr>
            <w:tcW w:w="8035" w:type="dxa"/>
            <w:gridSpan w:val="3"/>
            <w:tcBorders>
              <w:top w:val="single" w:color="000000" w:sz="6" w:space="0"/>
              <w:left w:val="single" w:color="000000" w:sz="6" w:space="0"/>
              <w:bottom w:val="single" w:color="000000" w:sz="6" w:space="0"/>
            </w:tcBorders>
            <w:noWrap w:val="0"/>
            <w:vAlign w:val="top"/>
          </w:tcPr>
          <w:p w14:paraId="7CD93F32">
            <w:pPr>
              <w:pStyle w:val="11"/>
              <w:spacing w:before="22"/>
              <w:rPr>
                <w:sz w:val="21"/>
              </w:rPr>
            </w:pPr>
            <w:r>
              <w:rPr>
                <w:sz w:val="21"/>
              </w:rPr>
              <w:t>投标人资格标准：</w:t>
            </w:r>
          </w:p>
          <w:p w14:paraId="1584E502">
            <w:pPr>
              <w:pStyle w:val="11"/>
              <w:numPr>
                <w:ilvl w:val="0"/>
                <w:numId w:val="1"/>
              </w:numPr>
              <w:tabs>
                <w:tab w:val="left" w:pos="275"/>
              </w:tabs>
              <w:spacing w:before="43" w:after="0" w:line="240" w:lineRule="auto"/>
              <w:ind w:left="274" w:right="0" w:hanging="160"/>
              <w:jc w:val="left"/>
              <w:rPr>
                <w:sz w:val="21"/>
              </w:rPr>
            </w:pPr>
            <w:r>
              <w:rPr>
                <w:sz w:val="21"/>
              </w:rPr>
              <w:t>投标人须具有合法经营的独立法人资格和独立订立合同的能力；</w:t>
            </w:r>
          </w:p>
          <w:p w14:paraId="555813C6">
            <w:pPr>
              <w:pStyle w:val="11"/>
              <w:numPr>
                <w:ilvl w:val="0"/>
                <w:numId w:val="1"/>
              </w:numPr>
              <w:tabs>
                <w:tab w:val="left" w:pos="275"/>
              </w:tabs>
              <w:spacing w:before="42" w:after="0" w:line="240" w:lineRule="auto"/>
              <w:ind w:left="274" w:right="0" w:hanging="160"/>
              <w:jc w:val="left"/>
              <w:rPr>
                <w:sz w:val="21"/>
              </w:rPr>
            </w:pPr>
            <w:r>
              <w:rPr>
                <w:spacing w:val="-8"/>
                <w:sz w:val="21"/>
              </w:rPr>
              <w:t>投标人必须有</w:t>
            </w:r>
            <w:r>
              <w:rPr>
                <w:rFonts w:hint="eastAsia"/>
                <w:spacing w:val="-8"/>
                <w:sz w:val="21"/>
                <w:lang w:eastAsia="zh-CN"/>
              </w:rPr>
              <w:t>危险废物处置</w:t>
            </w:r>
            <w:r>
              <w:rPr>
                <w:sz w:val="21"/>
              </w:rPr>
              <w:t>专业资质；</w:t>
            </w:r>
            <w:r>
              <w:rPr>
                <w:rFonts w:hint="eastAsia"/>
                <w:spacing w:val="-8"/>
                <w:sz w:val="21"/>
                <w:lang w:eastAsia="zh-CN"/>
              </w:rPr>
              <w:t>危险废物代码见附件</w:t>
            </w:r>
            <w:r>
              <w:rPr>
                <w:sz w:val="21"/>
              </w:rPr>
              <w:t>；</w:t>
            </w:r>
          </w:p>
        </w:tc>
      </w:tr>
      <w:tr w14:paraId="139243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5" w:hRule="atLeast"/>
        </w:trPr>
        <w:tc>
          <w:tcPr>
            <w:tcW w:w="1084" w:type="dxa"/>
            <w:tcBorders>
              <w:top w:val="single" w:color="000000" w:sz="6" w:space="0"/>
              <w:bottom w:val="single" w:color="000000" w:sz="6" w:space="0"/>
              <w:right w:val="single" w:color="000000" w:sz="6" w:space="0"/>
            </w:tcBorders>
            <w:noWrap w:val="0"/>
            <w:vAlign w:val="top"/>
          </w:tcPr>
          <w:p w14:paraId="3077E585">
            <w:pPr>
              <w:pStyle w:val="11"/>
              <w:ind w:left="0"/>
              <w:rPr>
                <w:b/>
                <w:sz w:val="22"/>
              </w:rPr>
            </w:pPr>
          </w:p>
          <w:p w14:paraId="6D1B3588">
            <w:pPr>
              <w:pStyle w:val="11"/>
              <w:spacing w:before="3"/>
              <w:ind w:left="0"/>
              <w:rPr>
                <w:b/>
                <w:sz w:val="17"/>
              </w:rPr>
            </w:pPr>
          </w:p>
          <w:p w14:paraId="7CE45BEF">
            <w:pPr>
              <w:pStyle w:val="11"/>
              <w:ind w:left="337" w:right="317"/>
              <w:jc w:val="center"/>
              <w:rPr>
                <w:rFonts w:ascii="Times New Roman"/>
                <w:sz w:val="21"/>
              </w:rPr>
            </w:pPr>
            <w:r>
              <w:rPr>
                <w:rFonts w:ascii="Times New Roman"/>
                <w:sz w:val="21"/>
              </w:rPr>
              <w:t>3.2</w:t>
            </w:r>
          </w:p>
        </w:tc>
        <w:tc>
          <w:tcPr>
            <w:tcW w:w="8035" w:type="dxa"/>
            <w:gridSpan w:val="3"/>
            <w:tcBorders>
              <w:top w:val="single" w:color="000000" w:sz="6" w:space="0"/>
              <w:left w:val="single" w:color="000000" w:sz="6" w:space="0"/>
              <w:bottom w:val="single" w:color="000000" w:sz="6" w:space="0"/>
            </w:tcBorders>
            <w:noWrap w:val="0"/>
            <w:vAlign w:val="top"/>
          </w:tcPr>
          <w:p w14:paraId="2F97FCDF">
            <w:pPr>
              <w:pStyle w:val="11"/>
              <w:spacing w:before="21"/>
              <w:rPr>
                <w:sz w:val="21"/>
              </w:rPr>
            </w:pPr>
            <w:r>
              <w:rPr>
                <w:w w:val="95"/>
                <w:sz w:val="21"/>
              </w:rPr>
              <w:t>投标人须提供如下证明文件：</w:t>
            </w:r>
          </w:p>
          <w:p w14:paraId="1199A568">
            <w:pPr>
              <w:pStyle w:val="11"/>
              <w:numPr>
                <w:ilvl w:val="0"/>
                <w:numId w:val="2"/>
              </w:numPr>
              <w:tabs>
                <w:tab w:val="left" w:pos="275"/>
              </w:tabs>
              <w:spacing w:before="43" w:after="0" w:line="240" w:lineRule="auto"/>
              <w:ind w:left="274" w:right="0" w:hanging="160"/>
              <w:jc w:val="left"/>
              <w:rPr>
                <w:sz w:val="21"/>
              </w:rPr>
            </w:pPr>
            <w:r>
              <w:rPr>
                <w:w w:val="95"/>
                <w:sz w:val="21"/>
              </w:rPr>
              <w:t>投标人代表授权委托书；</w:t>
            </w:r>
          </w:p>
          <w:p w14:paraId="618B9B48">
            <w:pPr>
              <w:pStyle w:val="11"/>
              <w:numPr>
                <w:ilvl w:val="0"/>
                <w:numId w:val="2"/>
              </w:numPr>
              <w:tabs>
                <w:tab w:val="left" w:pos="275"/>
              </w:tabs>
              <w:spacing w:before="43" w:after="0" w:line="240" w:lineRule="auto"/>
              <w:ind w:left="274" w:right="0" w:hanging="160"/>
              <w:jc w:val="left"/>
              <w:rPr>
                <w:sz w:val="21"/>
              </w:rPr>
            </w:pPr>
            <w:r>
              <w:rPr>
                <w:spacing w:val="-1"/>
                <w:w w:val="99"/>
                <w:sz w:val="21"/>
              </w:rPr>
              <w:t>相关证照复印件</w:t>
            </w:r>
            <w:r>
              <w:rPr>
                <w:spacing w:val="2"/>
                <w:w w:val="99"/>
                <w:sz w:val="21"/>
              </w:rPr>
              <w:t>（</w:t>
            </w:r>
            <w:r>
              <w:rPr>
                <w:spacing w:val="-1"/>
                <w:w w:val="99"/>
                <w:sz w:val="21"/>
              </w:rPr>
              <w:t>加盖公章</w:t>
            </w:r>
            <w:r>
              <w:rPr>
                <w:spacing w:val="-104"/>
                <w:w w:val="99"/>
                <w:sz w:val="21"/>
              </w:rPr>
              <w:t>）</w:t>
            </w:r>
            <w:r>
              <w:rPr>
                <w:w w:val="99"/>
                <w:sz w:val="21"/>
              </w:rPr>
              <w:t>；</w:t>
            </w:r>
          </w:p>
        </w:tc>
      </w:tr>
      <w:tr w14:paraId="350D59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084" w:type="dxa"/>
            <w:tcBorders>
              <w:top w:val="single" w:color="000000" w:sz="6" w:space="0"/>
              <w:bottom w:val="single" w:color="000000" w:sz="6" w:space="0"/>
              <w:right w:val="single" w:color="000000" w:sz="6" w:space="0"/>
            </w:tcBorders>
            <w:noWrap w:val="0"/>
            <w:vAlign w:val="top"/>
          </w:tcPr>
          <w:p w14:paraId="4F3770E9">
            <w:pPr>
              <w:pStyle w:val="11"/>
              <w:ind w:left="0"/>
              <w:rPr>
                <w:b/>
                <w:sz w:val="22"/>
              </w:rPr>
            </w:pPr>
          </w:p>
          <w:p w14:paraId="0ED4A7B0">
            <w:pPr>
              <w:pStyle w:val="11"/>
              <w:spacing w:before="2"/>
              <w:ind w:left="0"/>
              <w:rPr>
                <w:b/>
                <w:sz w:val="17"/>
              </w:rPr>
            </w:pPr>
          </w:p>
          <w:p w14:paraId="4F59820D">
            <w:pPr>
              <w:pStyle w:val="11"/>
              <w:spacing w:before="1"/>
              <w:ind w:left="337" w:right="316"/>
              <w:jc w:val="center"/>
              <w:rPr>
                <w:rFonts w:ascii="Times New Roman"/>
                <w:sz w:val="21"/>
              </w:rPr>
            </w:pPr>
            <w:r>
              <w:rPr>
                <w:rFonts w:ascii="Times New Roman"/>
                <w:sz w:val="21"/>
              </w:rPr>
              <w:t>3.3</w:t>
            </w:r>
          </w:p>
        </w:tc>
        <w:tc>
          <w:tcPr>
            <w:tcW w:w="8035" w:type="dxa"/>
            <w:gridSpan w:val="3"/>
            <w:tcBorders>
              <w:top w:val="single" w:color="000000" w:sz="6" w:space="0"/>
              <w:left w:val="single" w:color="000000" w:sz="6" w:space="0"/>
              <w:bottom w:val="single" w:color="000000" w:sz="6" w:space="0"/>
            </w:tcBorders>
            <w:noWrap w:val="0"/>
            <w:vAlign w:val="top"/>
          </w:tcPr>
          <w:p w14:paraId="04AE1F50">
            <w:pPr>
              <w:pStyle w:val="11"/>
              <w:spacing w:before="20"/>
              <w:rPr>
                <w:sz w:val="21"/>
              </w:rPr>
            </w:pPr>
            <w:r>
              <w:rPr>
                <w:w w:val="95"/>
                <w:sz w:val="21"/>
              </w:rPr>
              <w:t>投标文件有下述情形之一的，为未能对招标文件作出实质性响应，作废标处理：</w:t>
            </w:r>
          </w:p>
          <w:p w14:paraId="197CDD74">
            <w:pPr>
              <w:pStyle w:val="11"/>
              <w:numPr>
                <w:ilvl w:val="0"/>
                <w:numId w:val="3"/>
              </w:numPr>
              <w:tabs>
                <w:tab w:val="left" w:pos="275"/>
              </w:tabs>
              <w:spacing w:before="43" w:after="0" w:line="240" w:lineRule="auto"/>
              <w:ind w:left="274" w:right="0" w:hanging="160"/>
              <w:jc w:val="left"/>
              <w:rPr>
                <w:sz w:val="21"/>
              </w:rPr>
            </w:pPr>
            <w:r>
              <w:rPr>
                <w:w w:val="95"/>
                <w:sz w:val="21"/>
              </w:rPr>
              <w:t>投标文件没有投标人的法定代表人授权签字和被授权人签字以及加盖公章。</w:t>
            </w:r>
          </w:p>
          <w:p w14:paraId="6A133610">
            <w:pPr>
              <w:pStyle w:val="11"/>
              <w:numPr>
                <w:ilvl w:val="0"/>
                <w:numId w:val="3"/>
              </w:numPr>
              <w:tabs>
                <w:tab w:val="left" w:pos="275"/>
              </w:tabs>
              <w:spacing w:before="43" w:after="0" w:line="240" w:lineRule="auto"/>
              <w:ind w:left="274" w:right="0" w:hanging="160"/>
              <w:jc w:val="left"/>
              <w:rPr>
                <w:sz w:val="21"/>
              </w:rPr>
            </w:pPr>
            <w:r>
              <w:rPr>
                <w:sz w:val="21"/>
              </w:rPr>
              <w:t>明显不符合邀标文件中相关技术规格、技术标准等要求。</w:t>
            </w:r>
          </w:p>
          <w:p w14:paraId="53BBEA91">
            <w:pPr>
              <w:pStyle w:val="11"/>
              <w:numPr>
                <w:ilvl w:val="0"/>
                <w:numId w:val="3"/>
              </w:numPr>
              <w:tabs>
                <w:tab w:val="left" w:pos="275"/>
              </w:tabs>
              <w:spacing w:before="43" w:after="0" w:line="240" w:lineRule="auto"/>
              <w:ind w:left="274" w:right="0" w:hanging="160"/>
              <w:jc w:val="left"/>
              <w:rPr>
                <w:sz w:val="21"/>
              </w:rPr>
            </w:pPr>
            <w:r>
              <w:rPr>
                <w:sz w:val="21"/>
              </w:rPr>
              <w:t>投标文件附有招标人不能接受的条件。</w:t>
            </w:r>
          </w:p>
        </w:tc>
      </w:tr>
      <w:tr w14:paraId="0A44CC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084" w:type="dxa"/>
            <w:tcBorders>
              <w:top w:val="single" w:color="000000" w:sz="6" w:space="0"/>
              <w:bottom w:val="single" w:color="000000" w:sz="4" w:space="0"/>
              <w:right w:val="single" w:color="000000" w:sz="6" w:space="0"/>
            </w:tcBorders>
            <w:noWrap w:val="0"/>
            <w:vAlign w:val="top"/>
          </w:tcPr>
          <w:p w14:paraId="37D2EF71">
            <w:pPr>
              <w:pStyle w:val="11"/>
              <w:spacing w:before="34"/>
              <w:ind w:left="337" w:right="317"/>
              <w:jc w:val="center"/>
              <w:rPr>
                <w:rFonts w:ascii="Times New Roman"/>
                <w:sz w:val="21"/>
              </w:rPr>
            </w:pPr>
            <w:r>
              <w:rPr>
                <w:rFonts w:ascii="Times New Roman"/>
                <w:sz w:val="21"/>
              </w:rPr>
              <w:t>*3.4</w:t>
            </w:r>
          </w:p>
        </w:tc>
        <w:tc>
          <w:tcPr>
            <w:tcW w:w="8035" w:type="dxa"/>
            <w:gridSpan w:val="3"/>
            <w:tcBorders>
              <w:top w:val="single" w:color="000000" w:sz="6" w:space="0"/>
              <w:left w:val="single" w:color="000000" w:sz="6" w:space="0"/>
              <w:bottom w:val="single" w:color="000000" w:sz="6" w:space="0"/>
            </w:tcBorders>
            <w:noWrap w:val="0"/>
            <w:vAlign w:val="top"/>
          </w:tcPr>
          <w:p w14:paraId="56BF5939">
            <w:pPr>
              <w:pStyle w:val="11"/>
              <w:spacing w:before="20"/>
              <w:rPr>
                <w:sz w:val="21"/>
              </w:rPr>
            </w:pPr>
            <w:r>
              <w:rPr>
                <w:sz w:val="21"/>
              </w:rPr>
              <w:t>投标有效期：</w:t>
            </w:r>
            <w:r>
              <w:rPr>
                <w:rFonts w:hint="eastAsia"/>
                <w:sz w:val="21"/>
                <w:lang w:val="en-US" w:eastAsia="zh-CN"/>
              </w:rPr>
              <w:t>6</w:t>
            </w:r>
            <w:r>
              <w:rPr>
                <w:sz w:val="21"/>
              </w:rPr>
              <w:t>天；</w:t>
            </w:r>
          </w:p>
        </w:tc>
      </w:tr>
      <w:tr w14:paraId="2093F5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084" w:type="dxa"/>
            <w:tcBorders>
              <w:top w:val="single" w:color="000000" w:sz="4" w:space="0"/>
              <w:bottom w:val="single" w:color="000000" w:sz="6" w:space="0"/>
              <w:right w:val="single" w:color="000000" w:sz="6" w:space="0"/>
            </w:tcBorders>
            <w:noWrap w:val="0"/>
            <w:vAlign w:val="top"/>
          </w:tcPr>
          <w:p w14:paraId="3F70873F">
            <w:pPr>
              <w:pStyle w:val="11"/>
              <w:spacing w:before="36"/>
              <w:ind w:left="337" w:right="317"/>
              <w:jc w:val="center"/>
              <w:rPr>
                <w:rFonts w:ascii="Times New Roman"/>
                <w:sz w:val="21"/>
              </w:rPr>
            </w:pPr>
            <w:r>
              <w:rPr>
                <w:rFonts w:ascii="Times New Roman"/>
                <w:sz w:val="21"/>
              </w:rPr>
              <w:t>3.5</w:t>
            </w:r>
          </w:p>
        </w:tc>
        <w:tc>
          <w:tcPr>
            <w:tcW w:w="8035" w:type="dxa"/>
            <w:gridSpan w:val="3"/>
            <w:tcBorders>
              <w:top w:val="single" w:color="000000" w:sz="6" w:space="0"/>
              <w:left w:val="single" w:color="000000" w:sz="6" w:space="0"/>
              <w:bottom w:val="single" w:color="000000" w:sz="4" w:space="0"/>
            </w:tcBorders>
            <w:noWrap w:val="0"/>
            <w:vAlign w:val="top"/>
          </w:tcPr>
          <w:p w14:paraId="7DD17E08">
            <w:pPr>
              <w:pStyle w:val="11"/>
              <w:spacing w:before="22" w:line="268" w:lineRule="exact"/>
              <w:rPr>
                <w:sz w:val="21"/>
              </w:rPr>
            </w:pPr>
            <w:r>
              <w:rPr>
                <w:sz w:val="21"/>
              </w:rPr>
              <w:t xml:space="preserve">投标的正本文件 </w:t>
            </w:r>
            <w:r>
              <w:rPr>
                <w:rFonts w:ascii="Times New Roman" w:eastAsia="Times New Roman"/>
                <w:sz w:val="21"/>
              </w:rPr>
              <w:t xml:space="preserve">1 </w:t>
            </w:r>
            <w:r>
              <w:rPr>
                <w:sz w:val="21"/>
              </w:rPr>
              <w:t xml:space="preserve">份；副本文件 </w:t>
            </w:r>
            <w:r>
              <w:rPr>
                <w:rFonts w:ascii="Times New Roman" w:eastAsia="Times New Roman"/>
                <w:sz w:val="21"/>
              </w:rPr>
              <w:t xml:space="preserve">1 </w:t>
            </w:r>
            <w:r>
              <w:rPr>
                <w:sz w:val="21"/>
              </w:rPr>
              <w:t>份；</w:t>
            </w:r>
          </w:p>
        </w:tc>
      </w:tr>
      <w:tr w14:paraId="4BD85E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1084" w:type="dxa"/>
            <w:tcBorders>
              <w:top w:val="single" w:color="000000" w:sz="6" w:space="0"/>
              <w:bottom w:val="single" w:color="000000" w:sz="6" w:space="0"/>
              <w:right w:val="single" w:color="000000" w:sz="6" w:space="0"/>
            </w:tcBorders>
            <w:noWrap w:val="0"/>
            <w:vAlign w:val="top"/>
          </w:tcPr>
          <w:p w14:paraId="15FD2878">
            <w:pPr>
              <w:pStyle w:val="11"/>
              <w:spacing w:before="193"/>
              <w:ind w:left="337" w:right="317"/>
              <w:jc w:val="center"/>
              <w:rPr>
                <w:rFonts w:ascii="Times New Roman"/>
                <w:sz w:val="21"/>
              </w:rPr>
            </w:pPr>
            <w:r>
              <w:rPr>
                <w:rFonts w:ascii="Times New Roman"/>
                <w:sz w:val="21"/>
              </w:rPr>
              <w:t>*3.6</w:t>
            </w:r>
          </w:p>
        </w:tc>
        <w:tc>
          <w:tcPr>
            <w:tcW w:w="8035" w:type="dxa"/>
            <w:gridSpan w:val="3"/>
            <w:tcBorders>
              <w:top w:val="single" w:color="000000" w:sz="4" w:space="0"/>
              <w:left w:val="single" w:color="000000" w:sz="6" w:space="0"/>
              <w:bottom w:val="single" w:color="000000" w:sz="6" w:space="0"/>
            </w:tcBorders>
            <w:noWrap w:val="0"/>
            <w:vAlign w:val="top"/>
          </w:tcPr>
          <w:p w14:paraId="726BF088">
            <w:pPr>
              <w:pStyle w:val="11"/>
              <w:spacing w:before="23"/>
              <w:rPr>
                <w:sz w:val="21"/>
              </w:rPr>
            </w:pPr>
            <w:r>
              <w:rPr>
                <w:sz w:val="21"/>
              </w:rPr>
              <w:t>投标文件正本的每一页均应由投标人法定代表人或其授权代表签字。投标文件副本应</w:t>
            </w:r>
          </w:p>
          <w:p w14:paraId="2C192A82">
            <w:pPr>
              <w:pStyle w:val="11"/>
              <w:spacing w:before="43"/>
              <w:ind w:right="-29"/>
              <w:rPr>
                <w:sz w:val="21"/>
              </w:rPr>
            </w:pPr>
            <w:r>
              <w:rPr>
                <w:spacing w:val="-5"/>
                <w:w w:val="95"/>
                <w:sz w:val="21"/>
              </w:rPr>
              <w:t>为投标文件正本的复印件。报价表均应由投标人法定代表人或其授权代表签字并盖章。</w:t>
            </w:r>
          </w:p>
        </w:tc>
      </w:tr>
      <w:tr w14:paraId="7A39E2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084" w:type="dxa"/>
            <w:tcBorders>
              <w:top w:val="single" w:color="000000" w:sz="6" w:space="0"/>
              <w:bottom w:val="single" w:color="000000" w:sz="6" w:space="0"/>
              <w:right w:val="single" w:color="000000" w:sz="6" w:space="0"/>
            </w:tcBorders>
            <w:noWrap w:val="0"/>
            <w:vAlign w:val="top"/>
          </w:tcPr>
          <w:p w14:paraId="3A5F6030">
            <w:pPr>
              <w:pStyle w:val="11"/>
              <w:spacing w:before="44"/>
              <w:ind w:left="337" w:right="317"/>
              <w:jc w:val="center"/>
              <w:rPr>
                <w:rFonts w:ascii="Times New Roman"/>
                <w:sz w:val="21"/>
              </w:rPr>
            </w:pPr>
            <w:r>
              <w:rPr>
                <w:rFonts w:ascii="Times New Roman"/>
                <w:sz w:val="21"/>
              </w:rPr>
              <w:t>3.7</w:t>
            </w:r>
          </w:p>
        </w:tc>
        <w:tc>
          <w:tcPr>
            <w:tcW w:w="8035" w:type="dxa"/>
            <w:gridSpan w:val="3"/>
            <w:tcBorders>
              <w:top w:val="single" w:color="000000" w:sz="6" w:space="0"/>
              <w:left w:val="single" w:color="000000" w:sz="6" w:space="0"/>
              <w:bottom w:val="single" w:color="000000" w:sz="6" w:space="0"/>
            </w:tcBorders>
            <w:noWrap w:val="0"/>
            <w:vAlign w:val="top"/>
          </w:tcPr>
          <w:p w14:paraId="79C10772">
            <w:pPr>
              <w:pStyle w:val="11"/>
              <w:spacing w:before="30"/>
              <w:rPr>
                <w:sz w:val="21"/>
              </w:rPr>
            </w:pPr>
            <w:r>
              <w:rPr>
                <w:sz w:val="21"/>
              </w:rPr>
              <w:t>对于未按招标文件要求密封和标记的投标文件，将予以拒绝或作废。</w:t>
            </w:r>
          </w:p>
        </w:tc>
      </w:tr>
    </w:tbl>
    <w:p w14:paraId="35731714">
      <w:pPr>
        <w:spacing w:after="0"/>
        <w:rPr>
          <w:sz w:val="21"/>
        </w:rPr>
        <w:sectPr>
          <w:type w:val="continuous"/>
          <w:pgSz w:w="11910" w:h="16840"/>
          <w:pgMar w:top="1580" w:right="860" w:bottom="1160" w:left="1500" w:header="720" w:footer="720" w:gutter="0"/>
          <w:pgNumType w:fmt="decimal"/>
          <w:cols w:space="720" w:num="1"/>
        </w:sectPr>
      </w:pPr>
    </w:p>
    <w:tbl>
      <w:tblPr>
        <w:tblStyle w:val="7"/>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4"/>
        <w:gridCol w:w="8034"/>
      </w:tblGrid>
      <w:tr w14:paraId="26AED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tcBorders>
              <w:left w:val="single" w:color="000000" w:sz="12" w:space="0"/>
            </w:tcBorders>
            <w:noWrap w:val="0"/>
            <w:vAlign w:val="top"/>
          </w:tcPr>
          <w:p w14:paraId="77833853">
            <w:pPr>
              <w:pStyle w:val="11"/>
              <w:spacing w:before="34"/>
              <w:ind w:left="337" w:right="317"/>
              <w:jc w:val="center"/>
              <w:rPr>
                <w:rFonts w:ascii="Times New Roman"/>
                <w:sz w:val="21"/>
              </w:rPr>
            </w:pPr>
            <w:r>
              <w:rPr>
                <w:rFonts w:ascii="Times New Roman"/>
                <w:sz w:val="21"/>
              </w:rPr>
              <w:t>3.8</w:t>
            </w:r>
          </w:p>
        </w:tc>
        <w:tc>
          <w:tcPr>
            <w:tcW w:w="8034" w:type="dxa"/>
            <w:tcBorders>
              <w:right w:val="single" w:color="000000" w:sz="12" w:space="0"/>
            </w:tcBorders>
            <w:noWrap w:val="0"/>
            <w:vAlign w:val="top"/>
          </w:tcPr>
          <w:p w14:paraId="400DD083">
            <w:pPr>
              <w:pStyle w:val="11"/>
              <w:spacing w:before="20"/>
              <w:rPr>
                <w:sz w:val="21"/>
              </w:rPr>
            </w:pPr>
            <w:r>
              <w:rPr>
                <w:spacing w:val="-1"/>
                <w:w w:val="99"/>
                <w:sz w:val="21"/>
              </w:rPr>
              <w:t>投标截止期：</w:t>
            </w:r>
            <w:r>
              <w:rPr>
                <w:rFonts w:ascii="Times New Roman" w:eastAsia="Times New Roman"/>
                <w:spacing w:val="1"/>
                <w:w w:val="99"/>
                <w:sz w:val="21"/>
                <w:u w:val="single"/>
              </w:rPr>
              <w:t>2</w:t>
            </w:r>
            <w:r>
              <w:rPr>
                <w:rFonts w:ascii="Times New Roman" w:eastAsia="Times New Roman"/>
                <w:spacing w:val="-2"/>
                <w:w w:val="99"/>
                <w:sz w:val="21"/>
                <w:u w:val="single"/>
              </w:rPr>
              <w:t>0</w:t>
            </w:r>
            <w:r>
              <w:rPr>
                <w:rFonts w:ascii="Times New Roman" w:eastAsia="Times New Roman"/>
                <w:spacing w:val="1"/>
                <w:w w:val="99"/>
                <w:sz w:val="21"/>
                <w:u w:val="single"/>
              </w:rPr>
              <w:t>2</w:t>
            </w:r>
            <w:r>
              <w:rPr>
                <w:rFonts w:hint="eastAsia" w:ascii="Times New Roman"/>
                <w:w w:val="99"/>
                <w:sz w:val="21"/>
                <w:u w:val="single"/>
                <w:lang w:val="en-US" w:eastAsia="zh-CN"/>
              </w:rPr>
              <w:t>5</w:t>
            </w:r>
            <w:r>
              <w:rPr>
                <w:spacing w:val="1"/>
                <w:w w:val="99"/>
                <w:sz w:val="21"/>
              </w:rPr>
              <w:t>年</w:t>
            </w:r>
            <w:r>
              <w:rPr>
                <w:rFonts w:ascii="Times New Roman" w:eastAsia="Times New Roman"/>
                <w:w w:val="99"/>
                <w:sz w:val="21"/>
                <w:u w:val="single"/>
              </w:rPr>
              <w:t xml:space="preserve"> </w:t>
            </w:r>
            <w:r>
              <w:rPr>
                <w:rFonts w:ascii="Times New Roman" w:eastAsia="Times New Roman"/>
                <w:spacing w:val="-1"/>
                <w:sz w:val="21"/>
                <w:u w:val="single"/>
              </w:rPr>
              <w:t xml:space="preserve"> </w:t>
            </w:r>
            <w:r>
              <w:rPr>
                <w:rFonts w:hint="eastAsia" w:ascii="Times New Roman"/>
                <w:spacing w:val="-1"/>
                <w:sz w:val="21"/>
                <w:u w:val="single"/>
                <w:lang w:val="en-US" w:eastAsia="zh-CN"/>
              </w:rPr>
              <w:t>6</w:t>
            </w:r>
            <w:r>
              <w:rPr>
                <w:spacing w:val="-1"/>
                <w:w w:val="99"/>
                <w:sz w:val="21"/>
              </w:rPr>
              <w:t>月</w:t>
            </w:r>
            <w:r>
              <w:rPr>
                <w:rFonts w:hint="eastAsia" w:ascii="Times New Roman"/>
                <w:w w:val="99"/>
                <w:sz w:val="21"/>
                <w:u w:val="single"/>
                <w:lang w:val="en-US" w:eastAsia="zh-CN"/>
              </w:rPr>
              <w:t>29</w:t>
            </w:r>
            <w:r>
              <w:rPr>
                <w:rFonts w:ascii="Times New Roman" w:eastAsia="Times New Roman"/>
                <w:spacing w:val="-1"/>
                <w:sz w:val="21"/>
              </w:rPr>
              <w:t xml:space="preserve"> </w:t>
            </w:r>
            <w:r>
              <w:rPr>
                <w:w w:val="99"/>
                <w:sz w:val="21"/>
              </w:rPr>
              <w:t>日</w:t>
            </w:r>
            <w:r>
              <w:rPr>
                <w:spacing w:val="2"/>
                <w:sz w:val="21"/>
              </w:rPr>
              <w:t xml:space="preserve"> </w:t>
            </w:r>
            <w:r>
              <w:rPr>
                <w:rFonts w:hint="eastAsia"/>
                <w:spacing w:val="-1"/>
                <w:w w:val="99"/>
                <w:sz w:val="21"/>
                <w:lang w:eastAsia="zh-CN"/>
              </w:rPr>
              <w:t>下</w:t>
            </w:r>
            <w:r>
              <w:rPr>
                <w:spacing w:val="-1"/>
                <w:w w:val="99"/>
                <w:sz w:val="21"/>
              </w:rPr>
              <w:t>午</w:t>
            </w:r>
            <w:r>
              <w:rPr>
                <w:spacing w:val="-53"/>
                <w:sz w:val="21"/>
              </w:rPr>
              <w:t xml:space="preserve"> </w:t>
            </w:r>
            <w:r>
              <w:rPr>
                <w:rFonts w:hint="eastAsia" w:ascii="Times New Roman"/>
                <w:spacing w:val="1"/>
                <w:w w:val="99"/>
                <w:sz w:val="21"/>
                <w:u w:val="single"/>
                <w:lang w:val="en-US" w:eastAsia="zh-CN"/>
              </w:rPr>
              <w:t>17:00</w:t>
            </w:r>
            <w:r>
              <w:rPr>
                <w:spacing w:val="-1"/>
                <w:w w:val="99"/>
                <w:sz w:val="21"/>
              </w:rPr>
              <w:t>（北京时间</w:t>
            </w:r>
            <w:r>
              <w:rPr>
                <w:spacing w:val="-104"/>
                <w:w w:val="99"/>
                <w:sz w:val="21"/>
              </w:rPr>
              <w:t>）</w:t>
            </w:r>
            <w:r>
              <w:rPr>
                <w:w w:val="99"/>
                <w:sz w:val="21"/>
              </w:rPr>
              <w:t>；</w:t>
            </w:r>
          </w:p>
        </w:tc>
      </w:tr>
      <w:tr w14:paraId="53BEB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118" w:type="dxa"/>
            <w:gridSpan w:val="2"/>
            <w:tcBorders>
              <w:left w:val="single" w:color="000000" w:sz="12" w:space="0"/>
              <w:right w:val="single" w:color="000000" w:sz="12" w:space="0"/>
            </w:tcBorders>
            <w:noWrap w:val="0"/>
            <w:vAlign w:val="top"/>
          </w:tcPr>
          <w:p w14:paraId="270DCF25">
            <w:pPr>
              <w:pStyle w:val="11"/>
              <w:tabs>
                <w:tab w:val="left" w:pos="556"/>
                <w:tab w:val="left" w:pos="1082"/>
                <w:tab w:val="left" w:pos="1607"/>
                <w:tab w:val="left" w:pos="2135"/>
              </w:tabs>
              <w:spacing w:before="49"/>
              <w:ind w:left="30"/>
              <w:jc w:val="center"/>
              <w:rPr>
                <w:b/>
                <w:sz w:val="21"/>
              </w:rPr>
            </w:pPr>
            <w:r>
              <w:rPr>
                <w:b/>
                <w:sz w:val="21"/>
              </w:rPr>
              <w:t>开</w:t>
            </w:r>
            <w:r>
              <w:rPr>
                <w:b/>
                <w:sz w:val="21"/>
              </w:rPr>
              <w:tab/>
            </w:r>
            <w:r>
              <w:rPr>
                <w:b/>
                <w:sz w:val="21"/>
              </w:rPr>
              <w:t>标</w:t>
            </w:r>
            <w:r>
              <w:rPr>
                <w:b/>
                <w:sz w:val="21"/>
              </w:rPr>
              <w:tab/>
            </w:r>
            <w:r>
              <w:rPr>
                <w:b/>
                <w:sz w:val="21"/>
              </w:rPr>
              <w:t>与</w:t>
            </w:r>
            <w:r>
              <w:rPr>
                <w:b/>
                <w:sz w:val="21"/>
              </w:rPr>
              <w:tab/>
            </w:r>
            <w:r>
              <w:rPr>
                <w:b/>
                <w:sz w:val="21"/>
              </w:rPr>
              <w:t>评</w:t>
            </w:r>
            <w:r>
              <w:rPr>
                <w:b/>
                <w:sz w:val="21"/>
              </w:rPr>
              <w:tab/>
            </w:r>
            <w:r>
              <w:rPr>
                <w:b/>
                <w:sz w:val="21"/>
              </w:rPr>
              <w:t>标</w:t>
            </w:r>
          </w:p>
        </w:tc>
      </w:tr>
      <w:tr w14:paraId="144A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1084" w:type="dxa"/>
            <w:tcBorders>
              <w:left w:val="single" w:color="000000" w:sz="12" w:space="0"/>
            </w:tcBorders>
            <w:noWrap w:val="0"/>
            <w:vAlign w:val="top"/>
          </w:tcPr>
          <w:p w14:paraId="72F15989">
            <w:pPr>
              <w:pStyle w:val="11"/>
              <w:spacing w:before="4"/>
              <w:ind w:left="0"/>
              <w:rPr>
                <w:b/>
                <w:sz w:val="23"/>
              </w:rPr>
            </w:pPr>
          </w:p>
          <w:p w14:paraId="62285643">
            <w:pPr>
              <w:pStyle w:val="11"/>
              <w:ind w:left="337" w:right="317"/>
              <w:jc w:val="center"/>
              <w:rPr>
                <w:rFonts w:ascii="Times New Roman"/>
                <w:sz w:val="21"/>
              </w:rPr>
            </w:pPr>
            <w:r>
              <w:rPr>
                <w:rFonts w:ascii="Times New Roman"/>
                <w:sz w:val="21"/>
              </w:rPr>
              <w:t>4.1</w:t>
            </w:r>
          </w:p>
        </w:tc>
        <w:tc>
          <w:tcPr>
            <w:tcW w:w="8034" w:type="dxa"/>
            <w:tcBorders>
              <w:right w:val="single" w:color="000000" w:sz="12" w:space="0"/>
            </w:tcBorders>
            <w:noWrap w:val="0"/>
            <w:vAlign w:val="top"/>
          </w:tcPr>
          <w:p w14:paraId="3BA3459E">
            <w:pPr>
              <w:pStyle w:val="11"/>
              <w:spacing w:before="129"/>
              <w:rPr>
                <w:rFonts w:hint="eastAsia" w:eastAsia="宋体"/>
                <w:sz w:val="21"/>
                <w:lang w:eastAsia="zh-CN"/>
              </w:rPr>
            </w:pPr>
            <w:r>
              <w:rPr>
                <w:sz w:val="21"/>
              </w:rPr>
              <w:t>开标日期：</w:t>
            </w:r>
            <w:r>
              <w:rPr>
                <w:rFonts w:ascii="Times New Roman" w:eastAsia="Times New Roman"/>
                <w:sz w:val="21"/>
                <w:u w:val="single"/>
              </w:rPr>
              <w:t>202</w:t>
            </w:r>
            <w:r>
              <w:rPr>
                <w:rFonts w:hint="eastAsia" w:ascii="Times New Roman"/>
                <w:sz w:val="21"/>
                <w:u w:val="single"/>
                <w:lang w:val="en-US" w:eastAsia="zh-CN"/>
              </w:rPr>
              <w:t>4</w:t>
            </w:r>
            <w:r>
              <w:rPr>
                <w:rFonts w:ascii="Times New Roman" w:eastAsia="Times New Roman"/>
                <w:sz w:val="21"/>
              </w:rPr>
              <w:t xml:space="preserve"> </w:t>
            </w:r>
            <w:r>
              <w:rPr>
                <w:sz w:val="21"/>
              </w:rPr>
              <w:t>年</w:t>
            </w:r>
            <w:r>
              <w:rPr>
                <w:sz w:val="21"/>
                <w:u w:val="single"/>
              </w:rPr>
              <w:t xml:space="preserve"> </w:t>
            </w:r>
            <w:r>
              <w:rPr>
                <w:rFonts w:hint="eastAsia" w:ascii="Times New Roman"/>
                <w:sz w:val="21"/>
                <w:u w:val="single"/>
                <w:lang w:val="en-US" w:eastAsia="zh-CN"/>
              </w:rPr>
              <w:t>6</w:t>
            </w:r>
            <w:r>
              <w:rPr>
                <w:sz w:val="21"/>
              </w:rPr>
              <w:t xml:space="preserve">月 </w:t>
            </w:r>
            <w:r>
              <w:rPr>
                <w:rFonts w:hint="eastAsia" w:ascii="Times New Roman"/>
                <w:sz w:val="21"/>
                <w:u w:val="single"/>
                <w:lang w:val="en-US" w:eastAsia="zh-CN"/>
              </w:rPr>
              <w:t>30</w:t>
            </w:r>
            <w:r>
              <w:rPr>
                <w:rFonts w:ascii="Times New Roman" w:eastAsia="Times New Roman"/>
                <w:sz w:val="21"/>
              </w:rPr>
              <w:t xml:space="preserve"> </w:t>
            </w:r>
            <w:r>
              <w:rPr>
                <w:sz w:val="21"/>
              </w:rPr>
              <w:t>日星期</w:t>
            </w:r>
            <w:r>
              <w:rPr>
                <w:rFonts w:hint="eastAsia"/>
                <w:sz w:val="21"/>
                <w:lang w:val="en-US" w:eastAsia="zh-CN"/>
              </w:rPr>
              <w:t>一</w:t>
            </w:r>
          </w:p>
          <w:p w14:paraId="30B45D86">
            <w:pPr>
              <w:pStyle w:val="11"/>
              <w:spacing w:before="43"/>
              <w:rPr>
                <w:sz w:val="21"/>
              </w:rPr>
            </w:pPr>
            <w:r>
              <w:rPr>
                <w:sz w:val="21"/>
              </w:rPr>
              <w:t>开标地点：湖北华丹医药科技股份有限公司会议室</w:t>
            </w:r>
          </w:p>
        </w:tc>
      </w:tr>
      <w:tr w14:paraId="0D26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084" w:type="dxa"/>
            <w:tcBorders>
              <w:left w:val="single" w:color="000000" w:sz="12" w:space="0"/>
            </w:tcBorders>
            <w:noWrap w:val="0"/>
            <w:vAlign w:val="top"/>
          </w:tcPr>
          <w:p w14:paraId="79366BB0">
            <w:pPr>
              <w:pStyle w:val="11"/>
              <w:ind w:left="0"/>
              <w:rPr>
                <w:b/>
                <w:sz w:val="27"/>
              </w:rPr>
            </w:pPr>
          </w:p>
          <w:p w14:paraId="2A02EEA2">
            <w:pPr>
              <w:pStyle w:val="11"/>
              <w:ind w:left="337" w:right="317"/>
              <w:jc w:val="center"/>
              <w:rPr>
                <w:rFonts w:ascii="Times New Roman"/>
                <w:sz w:val="21"/>
              </w:rPr>
            </w:pPr>
            <w:r>
              <w:rPr>
                <w:rFonts w:ascii="Times New Roman"/>
                <w:sz w:val="21"/>
              </w:rPr>
              <w:t>4.2</w:t>
            </w:r>
          </w:p>
        </w:tc>
        <w:tc>
          <w:tcPr>
            <w:tcW w:w="8034" w:type="dxa"/>
            <w:tcBorders>
              <w:right w:val="single" w:color="000000" w:sz="12" w:space="0"/>
            </w:tcBorders>
            <w:noWrap w:val="0"/>
            <w:vAlign w:val="top"/>
          </w:tcPr>
          <w:p w14:paraId="021B02A3">
            <w:pPr>
              <w:pStyle w:val="11"/>
              <w:spacing w:line="269" w:lineRule="exact"/>
              <w:rPr>
                <w:sz w:val="21"/>
              </w:rPr>
            </w:pPr>
            <w:r>
              <w:rPr>
                <w:sz w:val="21"/>
              </w:rPr>
              <w:t>合同签订生效后，</w:t>
            </w:r>
            <w:r>
              <w:rPr>
                <w:rFonts w:hint="eastAsia" w:ascii="Times New Roman"/>
                <w:sz w:val="21"/>
                <w:lang w:eastAsia="zh-CN"/>
              </w:rPr>
              <w:t>按照湖北华丹医药科技股份有限公司在当地环保局备案的危险废物种类进行危险废物转移（重量以实际过磅为准，转移时间为合同期内任何时间）</w:t>
            </w:r>
          </w:p>
        </w:tc>
      </w:tr>
      <w:tr w14:paraId="00319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084" w:type="dxa"/>
            <w:vMerge w:val="restart"/>
            <w:tcBorders>
              <w:left w:val="single" w:color="000000" w:sz="12" w:space="0"/>
            </w:tcBorders>
            <w:noWrap w:val="0"/>
            <w:vAlign w:val="top"/>
          </w:tcPr>
          <w:p w14:paraId="16585A8C">
            <w:pPr>
              <w:pStyle w:val="11"/>
              <w:ind w:left="0"/>
              <w:rPr>
                <w:b/>
                <w:sz w:val="22"/>
              </w:rPr>
            </w:pPr>
          </w:p>
          <w:p w14:paraId="05598A02">
            <w:pPr>
              <w:pStyle w:val="11"/>
              <w:ind w:left="0"/>
              <w:rPr>
                <w:b/>
                <w:sz w:val="22"/>
              </w:rPr>
            </w:pPr>
          </w:p>
          <w:p w14:paraId="7A0E8A27">
            <w:pPr>
              <w:pStyle w:val="11"/>
              <w:ind w:left="0"/>
              <w:rPr>
                <w:b/>
                <w:sz w:val="22"/>
              </w:rPr>
            </w:pPr>
          </w:p>
          <w:p w14:paraId="26A139C3">
            <w:pPr>
              <w:pStyle w:val="11"/>
              <w:ind w:left="0"/>
              <w:rPr>
                <w:b/>
                <w:sz w:val="22"/>
              </w:rPr>
            </w:pPr>
          </w:p>
          <w:p w14:paraId="0F8F9DA8">
            <w:pPr>
              <w:pStyle w:val="11"/>
              <w:spacing w:before="178"/>
              <w:ind w:left="337" w:right="317"/>
              <w:jc w:val="center"/>
              <w:rPr>
                <w:rFonts w:ascii="Times New Roman"/>
                <w:sz w:val="21"/>
              </w:rPr>
            </w:pPr>
            <w:r>
              <w:rPr>
                <w:rFonts w:ascii="Times New Roman"/>
                <w:sz w:val="21"/>
              </w:rPr>
              <w:t>4.3</w:t>
            </w:r>
          </w:p>
        </w:tc>
        <w:tc>
          <w:tcPr>
            <w:tcW w:w="8034" w:type="dxa"/>
            <w:tcBorders>
              <w:bottom w:val="single" w:color="000000" w:sz="4" w:space="0"/>
              <w:right w:val="single" w:color="000000" w:sz="12" w:space="0"/>
            </w:tcBorders>
            <w:noWrap w:val="0"/>
            <w:vAlign w:val="top"/>
          </w:tcPr>
          <w:p w14:paraId="196028EA">
            <w:pPr>
              <w:pStyle w:val="11"/>
              <w:spacing w:line="267" w:lineRule="exact"/>
              <w:rPr>
                <w:sz w:val="21"/>
              </w:rPr>
            </w:pPr>
            <w:r>
              <w:rPr>
                <w:rFonts w:ascii="Times New Roman" w:eastAsia="Times New Roman"/>
                <w:sz w:val="21"/>
              </w:rPr>
              <w:t>(1)</w:t>
            </w:r>
            <w:r>
              <w:rPr>
                <w:sz w:val="21"/>
              </w:rPr>
              <w:t>投标人应详细注明技术规格及其偏离。如响应的技术规格低于招标文件要求，为偏</w:t>
            </w:r>
            <w:r>
              <w:rPr>
                <w:spacing w:val="-17"/>
                <w:sz w:val="21"/>
              </w:rPr>
              <w:t>离；技术规格高于招标文件要求的不考虑降低评标价格。</w:t>
            </w:r>
          </w:p>
        </w:tc>
      </w:tr>
      <w:tr w14:paraId="6205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vMerge w:val="continue"/>
            <w:tcBorders>
              <w:top w:val="nil"/>
              <w:left w:val="single" w:color="000000" w:sz="12" w:space="0"/>
            </w:tcBorders>
            <w:noWrap w:val="0"/>
            <w:vAlign w:val="top"/>
          </w:tcPr>
          <w:p w14:paraId="649262C5">
            <w:pPr>
              <w:rPr>
                <w:sz w:val="2"/>
                <w:szCs w:val="2"/>
              </w:rPr>
            </w:pPr>
          </w:p>
        </w:tc>
        <w:tc>
          <w:tcPr>
            <w:tcW w:w="8034" w:type="dxa"/>
            <w:tcBorders>
              <w:top w:val="single" w:color="000000" w:sz="4" w:space="0"/>
              <w:bottom w:val="single" w:color="000000" w:sz="4" w:space="0"/>
              <w:right w:val="single" w:color="000000" w:sz="12" w:space="0"/>
            </w:tcBorders>
            <w:noWrap w:val="0"/>
            <w:vAlign w:val="top"/>
          </w:tcPr>
          <w:p w14:paraId="6FA13425">
            <w:pPr>
              <w:pStyle w:val="11"/>
              <w:spacing w:before="23" w:line="268" w:lineRule="exact"/>
              <w:rPr>
                <w:sz w:val="21"/>
              </w:rPr>
            </w:pPr>
            <w:r>
              <w:rPr>
                <w:rFonts w:ascii="Times New Roman" w:eastAsia="Times New Roman"/>
                <w:sz w:val="21"/>
              </w:rPr>
              <w:t>(2)</w:t>
            </w:r>
            <w:r>
              <w:rPr>
                <w:sz w:val="21"/>
              </w:rPr>
              <w:t>对招标文件已做要求，但投标人未予以响应的，按不满足要求处理。</w:t>
            </w:r>
          </w:p>
        </w:tc>
      </w:tr>
      <w:tr w14:paraId="2D95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4" w:type="dxa"/>
            <w:vMerge w:val="continue"/>
            <w:tcBorders>
              <w:top w:val="nil"/>
              <w:left w:val="single" w:color="000000" w:sz="12" w:space="0"/>
            </w:tcBorders>
            <w:noWrap w:val="0"/>
            <w:vAlign w:val="top"/>
          </w:tcPr>
          <w:p w14:paraId="473B88DF">
            <w:pPr>
              <w:rPr>
                <w:sz w:val="2"/>
                <w:szCs w:val="2"/>
              </w:rPr>
            </w:pPr>
          </w:p>
        </w:tc>
        <w:tc>
          <w:tcPr>
            <w:tcW w:w="8034" w:type="dxa"/>
            <w:tcBorders>
              <w:top w:val="single" w:color="000000" w:sz="4" w:space="0"/>
              <w:right w:val="single" w:color="000000" w:sz="12" w:space="0"/>
            </w:tcBorders>
            <w:noWrap w:val="0"/>
            <w:vAlign w:val="top"/>
          </w:tcPr>
          <w:p w14:paraId="26444BF4">
            <w:pPr>
              <w:pStyle w:val="11"/>
              <w:spacing w:before="23"/>
              <w:rPr>
                <w:sz w:val="21"/>
              </w:rPr>
            </w:pPr>
            <w:r>
              <w:rPr>
                <w:rFonts w:ascii="Times New Roman" w:eastAsia="Times New Roman"/>
                <w:sz w:val="21"/>
              </w:rPr>
              <w:t>(3)</w:t>
            </w:r>
            <w:r>
              <w:rPr>
                <w:sz w:val="21"/>
              </w:rPr>
              <w:t>如发现投标人所投实际技术参数与投标文件中描述的技术参数不相符合，招标人将</w:t>
            </w:r>
          </w:p>
          <w:p w14:paraId="0648495C">
            <w:pPr>
              <w:pStyle w:val="11"/>
              <w:spacing w:before="43"/>
              <w:rPr>
                <w:sz w:val="21"/>
              </w:rPr>
            </w:pPr>
            <w:r>
              <w:rPr>
                <w:sz w:val="21"/>
              </w:rPr>
              <w:t>视该项技术响应为不合格。</w:t>
            </w:r>
          </w:p>
        </w:tc>
      </w:tr>
      <w:tr w14:paraId="14610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1084" w:type="dxa"/>
            <w:vMerge w:val="continue"/>
            <w:tcBorders>
              <w:top w:val="nil"/>
              <w:left w:val="single" w:color="000000" w:sz="12" w:space="0"/>
            </w:tcBorders>
            <w:noWrap w:val="0"/>
            <w:vAlign w:val="top"/>
          </w:tcPr>
          <w:p w14:paraId="0E40E42F">
            <w:pPr>
              <w:rPr>
                <w:sz w:val="2"/>
                <w:szCs w:val="2"/>
              </w:rPr>
            </w:pPr>
          </w:p>
        </w:tc>
        <w:tc>
          <w:tcPr>
            <w:tcW w:w="8034" w:type="dxa"/>
            <w:tcBorders>
              <w:right w:val="single" w:color="000000" w:sz="12" w:space="0"/>
            </w:tcBorders>
            <w:noWrap w:val="0"/>
            <w:vAlign w:val="top"/>
          </w:tcPr>
          <w:p w14:paraId="12A3C9B6">
            <w:pPr>
              <w:pStyle w:val="11"/>
              <w:spacing w:before="20"/>
              <w:ind w:right="-29"/>
              <w:rPr>
                <w:sz w:val="21"/>
              </w:rPr>
            </w:pPr>
            <w:r>
              <w:rPr>
                <w:rFonts w:ascii="Times New Roman" w:eastAsia="Times New Roman"/>
                <w:sz w:val="21"/>
              </w:rPr>
              <w:t>(4)</w:t>
            </w:r>
            <w:r>
              <w:rPr>
                <w:sz w:val="21"/>
              </w:rPr>
              <w:t>可以补充说明超出招标文件要求范围的配置、附加功能及服务项目、赠送的产品及</w:t>
            </w:r>
          </w:p>
          <w:p w14:paraId="4C79F2AE">
            <w:pPr>
              <w:pStyle w:val="11"/>
              <w:spacing w:before="20"/>
              <w:ind w:right="-29"/>
              <w:rPr>
                <w:sz w:val="21"/>
              </w:rPr>
            </w:pPr>
            <w:r>
              <w:rPr>
                <w:sz w:val="21"/>
              </w:rPr>
              <w:t>服务，如含在投标总价中，在评标时不作扣减；如不含在总价中，请说明并列出单价；否则，将被视为已含在总价中。</w:t>
            </w:r>
          </w:p>
        </w:tc>
      </w:tr>
      <w:tr w14:paraId="26E09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6" w:hRule="atLeast"/>
        </w:trPr>
        <w:tc>
          <w:tcPr>
            <w:tcW w:w="1084" w:type="dxa"/>
            <w:tcBorders>
              <w:left w:val="single" w:color="000000" w:sz="12" w:space="0"/>
            </w:tcBorders>
            <w:noWrap w:val="0"/>
            <w:vAlign w:val="top"/>
          </w:tcPr>
          <w:p w14:paraId="2923B6BB">
            <w:pPr>
              <w:pStyle w:val="11"/>
              <w:ind w:left="0"/>
              <w:rPr>
                <w:b/>
                <w:sz w:val="22"/>
              </w:rPr>
            </w:pPr>
          </w:p>
          <w:p w14:paraId="4E2E4323">
            <w:pPr>
              <w:pStyle w:val="11"/>
              <w:ind w:left="0"/>
              <w:rPr>
                <w:b/>
                <w:sz w:val="22"/>
              </w:rPr>
            </w:pPr>
          </w:p>
          <w:p w14:paraId="1FCB7111">
            <w:pPr>
              <w:pStyle w:val="11"/>
              <w:ind w:left="0"/>
              <w:rPr>
                <w:b/>
                <w:sz w:val="22"/>
              </w:rPr>
            </w:pPr>
          </w:p>
          <w:p w14:paraId="5A857D36">
            <w:pPr>
              <w:pStyle w:val="11"/>
              <w:spacing w:before="12"/>
              <w:ind w:left="0"/>
              <w:rPr>
                <w:b/>
                <w:sz w:val="28"/>
              </w:rPr>
            </w:pPr>
          </w:p>
          <w:p w14:paraId="34B02122">
            <w:pPr>
              <w:pStyle w:val="11"/>
              <w:ind w:left="337" w:right="317"/>
              <w:jc w:val="center"/>
              <w:rPr>
                <w:rFonts w:ascii="Times New Roman"/>
                <w:sz w:val="21"/>
              </w:rPr>
            </w:pPr>
            <w:r>
              <w:rPr>
                <w:rFonts w:ascii="Times New Roman"/>
                <w:sz w:val="21"/>
              </w:rPr>
              <w:t>*4.4</w:t>
            </w:r>
          </w:p>
        </w:tc>
        <w:tc>
          <w:tcPr>
            <w:tcW w:w="8034" w:type="dxa"/>
            <w:tcBorders>
              <w:right w:val="single" w:color="000000" w:sz="12" w:space="0"/>
            </w:tcBorders>
            <w:noWrap w:val="0"/>
            <w:vAlign w:val="top"/>
          </w:tcPr>
          <w:p w14:paraId="2B3E821D">
            <w:pPr>
              <w:pStyle w:val="11"/>
              <w:spacing w:before="102"/>
              <w:rPr>
                <w:sz w:val="21"/>
              </w:rPr>
            </w:pPr>
            <w:r>
              <w:rPr>
                <w:sz w:val="21"/>
              </w:rPr>
              <w:t>投标人应遵守的纪律：</w:t>
            </w:r>
          </w:p>
          <w:p w14:paraId="1C0CFC94">
            <w:pPr>
              <w:pStyle w:val="11"/>
              <w:spacing w:before="102"/>
              <w:rPr>
                <w:sz w:val="21"/>
              </w:rPr>
            </w:pPr>
            <w:r>
              <w:rPr>
                <w:sz w:val="21"/>
              </w:rPr>
              <w:t>1、投标人申报的关于资质、等文件和材料必须真实准确，不得弄虚作假；</w:t>
            </w:r>
          </w:p>
          <w:p w14:paraId="4F6EC158">
            <w:pPr>
              <w:pStyle w:val="11"/>
              <w:spacing w:before="102"/>
              <w:rPr>
                <w:sz w:val="21"/>
              </w:rPr>
            </w:pPr>
            <w:r>
              <w:rPr>
                <w:sz w:val="21"/>
              </w:rPr>
              <w:t>2、投标人不得串通作弊，哄抬标价，致使定标困难或无法定标；</w:t>
            </w:r>
          </w:p>
          <w:p w14:paraId="2B1D79D1">
            <w:pPr>
              <w:pStyle w:val="11"/>
              <w:spacing w:before="102"/>
              <w:rPr>
                <w:sz w:val="21"/>
              </w:rPr>
            </w:pPr>
            <w:r>
              <w:rPr>
                <w:sz w:val="21"/>
              </w:rPr>
              <w:t>3、投标人不得采用不正当手段妨碍、排挤其它投标人，扰乱招标市场，破坏公平竞争；</w:t>
            </w:r>
          </w:p>
          <w:p w14:paraId="72460B81">
            <w:pPr>
              <w:pStyle w:val="11"/>
              <w:spacing w:before="102"/>
              <w:rPr>
                <w:sz w:val="21"/>
              </w:rPr>
            </w:pPr>
            <w:r>
              <w:rPr>
                <w:sz w:val="21"/>
              </w:rPr>
              <w:t>4、投标人不得以任何形式打听和搜集评标机密，不得以任何形式干扰评标和授标工作；</w:t>
            </w:r>
          </w:p>
          <w:p w14:paraId="4CA46247">
            <w:pPr>
              <w:pStyle w:val="11"/>
              <w:spacing w:before="102"/>
              <w:rPr>
                <w:sz w:val="21"/>
              </w:rPr>
            </w:pPr>
            <w:r>
              <w:rPr>
                <w:sz w:val="21"/>
              </w:rPr>
              <w:t>5、投标人应以快件形式如顺</w:t>
            </w:r>
            <w:r>
              <w:rPr>
                <w:rFonts w:hint="eastAsia"/>
                <w:sz w:val="21"/>
                <w:lang w:val="en-US" w:eastAsia="zh-CN"/>
              </w:rPr>
              <w:t>丰</w:t>
            </w:r>
            <w:r>
              <w:rPr>
                <w:sz w:val="21"/>
              </w:rPr>
              <w:t>、邮政等寄给标书投递联系人：</w:t>
            </w:r>
            <w:r>
              <w:rPr>
                <w:rFonts w:hint="eastAsia"/>
                <w:sz w:val="21"/>
                <w:lang w:val="en-US" w:eastAsia="zh-CN"/>
              </w:rPr>
              <w:t>张传娥</w:t>
            </w:r>
            <w:r>
              <w:rPr>
                <w:sz w:val="21"/>
              </w:rPr>
              <w:t>（收），联系电话：</w:t>
            </w:r>
            <w:r>
              <w:rPr>
                <w:rFonts w:hint="eastAsia"/>
                <w:sz w:val="21"/>
                <w:lang w:val="en-US" w:eastAsia="zh-CN"/>
              </w:rPr>
              <w:t>15151145790</w:t>
            </w:r>
            <w:r>
              <w:rPr>
                <w:sz w:val="21"/>
              </w:rPr>
              <w:t>，投递时请在邮寄单上注明：</w:t>
            </w:r>
            <w:r>
              <w:rPr>
                <w:rFonts w:hint="eastAsia"/>
                <w:b/>
                <w:bCs/>
                <w:sz w:val="21"/>
                <w:lang w:eastAsia="zh-CN"/>
              </w:rPr>
              <w:t>危险废物处置</w:t>
            </w:r>
            <w:r>
              <w:rPr>
                <w:sz w:val="21"/>
              </w:rPr>
              <w:t>；</w:t>
            </w:r>
          </w:p>
          <w:p w14:paraId="0FE89CF9">
            <w:pPr>
              <w:pStyle w:val="11"/>
              <w:spacing w:before="102"/>
              <w:rPr>
                <w:sz w:val="21"/>
              </w:rPr>
            </w:pPr>
            <w:r>
              <w:rPr>
                <w:sz w:val="21"/>
              </w:rPr>
              <w:t>投标人若违反上述要求，其投标将被废除。</w:t>
            </w:r>
          </w:p>
        </w:tc>
      </w:tr>
      <w:tr w14:paraId="46B7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9118" w:type="dxa"/>
            <w:gridSpan w:val="2"/>
            <w:tcBorders>
              <w:left w:val="single" w:color="000000" w:sz="12" w:space="0"/>
              <w:right w:val="single" w:color="000000" w:sz="12" w:space="0"/>
            </w:tcBorders>
            <w:noWrap w:val="0"/>
            <w:vAlign w:val="top"/>
          </w:tcPr>
          <w:p w14:paraId="1841D09D">
            <w:pPr>
              <w:pStyle w:val="11"/>
              <w:spacing w:before="93"/>
              <w:ind w:left="38"/>
              <w:jc w:val="center"/>
              <w:rPr>
                <w:b/>
                <w:sz w:val="21"/>
              </w:rPr>
            </w:pPr>
            <w:r>
              <w:rPr>
                <w:b/>
                <w:sz w:val="21"/>
              </w:rPr>
              <w:t>适用于本投标人须知其他条款</w:t>
            </w:r>
          </w:p>
        </w:tc>
      </w:tr>
      <w:tr w14:paraId="2235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right w:val="single" w:color="000000" w:sz="12" w:space="0"/>
            </w:tcBorders>
            <w:noWrap w:val="0"/>
            <w:vAlign w:val="top"/>
          </w:tcPr>
          <w:p w14:paraId="6D2FC718">
            <w:pPr>
              <w:pStyle w:val="11"/>
              <w:spacing w:before="20"/>
              <w:ind w:left="107"/>
              <w:rPr>
                <w:sz w:val="21"/>
              </w:rPr>
            </w:pPr>
            <w:r>
              <w:rPr>
                <w:sz w:val="21"/>
              </w:rPr>
              <w:t>适用法律、法规：</w:t>
            </w:r>
          </w:p>
          <w:p w14:paraId="5810774D">
            <w:pPr>
              <w:pStyle w:val="11"/>
              <w:spacing w:before="43"/>
              <w:ind w:left="107"/>
              <w:rPr>
                <w:sz w:val="21"/>
              </w:rPr>
            </w:pPr>
            <w:r>
              <w:rPr>
                <w:sz w:val="21"/>
              </w:rPr>
              <w:t>《中华人民共和国招标投标法》</w:t>
            </w:r>
          </w:p>
          <w:p w14:paraId="513908CC">
            <w:pPr>
              <w:pStyle w:val="11"/>
              <w:spacing w:before="43"/>
              <w:ind w:left="107"/>
              <w:rPr>
                <w:sz w:val="21"/>
              </w:rPr>
            </w:pPr>
            <w:r>
              <w:rPr>
                <w:sz w:val="21"/>
              </w:rPr>
              <w:t>《中华人民共和国民法典》</w:t>
            </w:r>
          </w:p>
        </w:tc>
      </w:tr>
      <w:tr w14:paraId="4AE6C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9118" w:type="dxa"/>
            <w:gridSpan w:val="2"/>
            <w:tcBorders>
              <w:left w:val="single" w:color="000000" w:sz="12" w:space="0"/>
              <w:right w:val="single" w:color="000000" w:sz="12" w:space="0"/>
            </w:tcBorders>
            <w:noWrap w:val="0"/>
            <w:vAlign w:val="top"/>
          </w:tcPr>
          <w:p w14:paraId="1362ACB5">
            <w:pPr>
              <w:pStyle w:val="11"/>
              <w:spacing w:before="22" w:line="278" w:lineRule="auto"/>
              <w:ind w:left="107" w:right="77"/>
              <w:jc w:val="both"/>
              <w:rPr>
                <w:sz w:val="21"/>
              </w:rPr>
            </w:pPr>
            <w:r>
              <w:rPr>
                <w:sz w:val="21"/>
              </w:rPr>
              <w:t>中标人在接到《中标通知书》后，必须在规定的时间内，准时派授权代表到指定地点按招标文件规定的合同条款和格式签订合同。中标人不得对合同价格、合同条款、技术要求和供货范围等内容与中标状态有任何改变，如果上述内容发生重大变动，而不符合招标人的要求时，招标人有权</w:t>
            </w:r>
          </w:p>
          <w:p w14:paraId="7753EA94">
            <w:pPr>
              <w:pStyle w:val="11"/>
              <w:spacing w:line="269" w:lineRule="exact"/>
              <w:ind w:left="107"/>
              <w:rPr>
                <w:sz w:val="21"/>
              </w:rPr>
            </w:pPr>
            <w:r>
              <w:rPr>
                <w:sz w:val="21"/>
              </w:rPr>
              <w:t>终止与中标人签约。</w:t>
            </w:r>
          </w:p>
        </w:tc>
      </w:tr>
      <w:tr w14:paraId="45C8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bottom w:val="single" w:color="000000" w:sz="12" w:space="0"/>
              <w:right w:val="single" w:color="000000" w:sz="12" w:space="0"/>
            </w:tcBorders>
            <w:noWrap w:val="0"/>
            <w:vAlign w:val="top"/>
          </w:tcPr>
          <w:p w14:paraId="59DDC7A6">
            <w:pPr>
              <w:pStyle w:val="11"/>
              <w:spacing w:before="21" w:line="278" w:lineRule="auto"/>
              <w:ind w:left="107" w:right="77"/>
              <w:rPr>
                <w:sz w:val="21"/>
              </w:rPr>
            </w:pPr>
            <w:r>
              <w:rPr>
                <w:sz w:val="21"/>
              </w:rPr>
              <w:t>如果招标人在签约过程中认定中标人不具备履行合同的能力，招标人有权终止与其签约，并将其投标废弃。在这种情况下，招标人将选择下一个最低评标价的投标人，并做出同样的判定。招标</w:t>
            </w:r>
          </w:p>
          <w:p w14:paraId="5FE59E7D">
            <w:pPr>
              <w:pStyle w:val="11"/>
              <w:spacing w:line="269" w:lineRule="exact"/>
              <w:ind w:left="107"/>
              <w:rPr>
                <w:sz w:val="21"/>
              </w:rPr>
            </w:pPr>
            <w:r>
              <w:rPr>
                <w:sz w:val="21"/>
              </w:rPr>
              <w:t>人最终将把合同授予被确认为有能力圆满履行合同义务的投标人。</w:t>
            </w:r>
          </w:p>
        </w:tc>
      </w:tr>
    </w:tbl>
    <w:p w14:paraId="08D4A5A6">
      <w:pPr>
        <w:pStyle w:val="4"/>
        <w:spacing w:before="3"/>
        <w:rPr>
          <w:b/>
          <w:sz w:val="20"/>
        </w:rPr>
      </w:pPr>
    </w:p>
    <w:p w14:paraId="6834034A">
      <w:pPr>
        <w:tabs>
          <w:tab w:val="left" w:pos="1383"/>
        </w:tabs>
        <w:spacing w:before="55"/>
        <w:ind w:left="96" w:right="0" w:firstLine="0"/>
        <w:jc w:val="center"/>
        <w:rPr>
          <w:b/>
          <w:sz w:val="32"/>
        </w:rPr>
      </w:pPr>
      <w:bookmarkStart w:id="0" w:name="第三章  合同主要内容及条款"/>
      <w:bookmarkEnd w:id="0"/>
    </w:p>
    <w:p w14:paraId="26E2E316">
      <w:pPr>
        <w:tabs>
          <w:tab w:val="left" w:pos="1383"/>
        </w:tabs>
        <w:spacing w:before="55"/>
        <w:ind w:left="96" w:right="0" w:firstLine="0"/>
        <w:jc w:val="center"/>
        <w:rPr>
          <w:b/>
          <w:sz w:val="32"/>
        </w:rPr>
      </w:pPr>
    </w:p>
    <w:p w14:paraId="2A03C336">
      <w:pPr>
        <w:tabs>
          <w:tab w:val="left" w:pos="1383"/>
        </w:tabs>
        <w:spacing w:before="55"/>
        <w:ind w:left="96" w:right="0" w:firstLine="0"/>
        <w:jc w:val="center"/>
        <w:rPr>
          <w:b/>
          <w:sz w:val="32"/>
        </w:rPr>
      </w:pPr>
    </w:p>
    <w:p w14:paraId="401A3AF0">
      <w:pPr>
        <w:tabs>
          <w:tab w:val="left" w:pos="1383"/>
        </w:tabs>
        <w:spacing w:before="55"/>
        <w:ind w:left="96" w:right="0" w:firstLine="0"/>
        <w:jc w:val="center"/>
        <w:rPr>
          <w:b/>
          <w:sz w:val="32"/>
        </w:rPr>
      </w:pPr>
    </w:p>
    <w:p w14:paraId="64A1CDA6">
      <w:pPr>
        <w:tabs>
          <w:tab w:val="left" w:pos="1383"/>
        </w:tabs>
        <w:spacing w:before="55"/>
        <w:ind w:left="96" w:right="0" w:firstLine="0"/>
        <w:jc w:val="center"/>
        <w:rPr>
          <w:b/>
          <w:sz w:val="32"/>
        </w:rPr>
      </w:pPr>
    </w:p>
    <w:p w14:paraId="00E6907A">
      <w:pPr>
        <w:tabs>
          <w:tab w:val="left" w:pos="1383"/>
        </w:tabs>
        <w:spacing w:before="55"/>
        <w:ind w:left="96" w:right="0" w:firstLine="0"/>
        <w:jc w:val="center"/>
        <w:rPr>
          <w:b/>
          <w:sz w:val="32"/>
        </w:rPr>
      </w:pPr>
    </w:p>
    <w:p w14:paraId="5BDE6E4D">
      <w:pPr>
        <w:tabs>
          <w:tab w:val="left" w:pos="1383"/>
        </w:tabs>
        <w:spacing w:before="55"/>
        <w:ind w:left="96" w:right="0" w:firstLine="0"/>
        <w:jc w:val="center"/>
        <w:rPr>
          <w:b/>
          <w:sz w:val="32"/>
        </w:rPr>
      </w:pPr>
      <w:r>
        <w:rPr>
          <w:b/>
          <w:sz w:val="32"/>
        </w:rPr>
        <w:t>第三章</w:t>
      </w:r>
      <w:r>
        <w:rPr>
          <w:b/>
          <w:sz w:val="32"/>
        </w:rPr>
        <w:tab/>
      </w:r>
      <w:r>
        <w:rPr>
          <w:b/>
          <w:sz w:val="32"/>
        </w:rPr>
        <w:t>合同主要内容及条款</w:t>
      </w:r>
    </w:p>
    <w:p w14:paraId="1BAC23FA">
      <w:pPr>
        <w:pStyle w:val="4"/>
        <w:spacing w:before="12"/>
        <w:rPr>
          <w:b/>
          <w:sz w:val="38"/>
        </w:rPr>
      </w:pPr>
    </w:p>
    <w:p w14:paraId="47B11814">
      <w:pPr>
        <w:pStyle w:val="4"/>
        <w:spacing w:line="355" w:lineRule="auto"/>
        <w:ind w:left="300" w:right="205" w:firstLine="415"/>
        <w:rPr>
          <w:sz w:val="28"/>
          <w:szCs w:val="28"/>
        </w:rPr>
      </w:pPr>
      <w:r>
        <w:rPr>
          <w:sz w:val="28"/>
          <w:szCs w:val="28"/>
        </w:rPr>
        <w:t>合同由招标方和</w:t>
      </w:r>
      <w:r>
        <w:rPr>
          <w:rFonts w:hint="eastAsia"/>
          <w:sz w:val="28"/>
          <w:szCs w:val="28"/>
          <w:lang w:val="en-US" w:eastAsia="zh-CN"/>
        </w:rPr>
        <w:t>中标单位</w:t>
      </w:r>
      <w:r>
        <w:rPr>
          <w:sz w:val="28"/>
          <w:szCs w:val="28"/>
        </w:rPr>
        <w:t>按照《中华人民共和国民法典》、《招标文件》、《投标文件》的有关规定等共同制定，同时应需要满足以下基本条款：</w:t>
      </w:r>
    </w:p>
    <w:p w14:paraId="74C52F80">
      <w:pPr>
        <w:pStyle w:val="12"/>
        <w:keepNext w:val="0"/>
        <w:keepLines w:val="0"/>
        <w:widowControl w:val="0"/>
        <w:shd w:val="clear" w:color="auto" w:fill="auto"/>
        <w:tabs>
          <w:tab w:val="left" w:pos="1103"/>
        </w:tabs>
        <w:bidi w:val="0"/>
        <w:spacing w:before="0" w:after="100" w:line="311" w:lineRule="exact"/>
        <w:ind w:left="0" w:right="0" w:firstLine="740"/>
        <w:jc w:val="both"/>
        <w:rPr>
          <w:sz w:val="24"/>
          <w:szCs w:val="24"/>
        </w:rPr>
      </w:pPr>
      <w:r>
        <w:rPr>
          <w:rFonts w:hint="eastAsia"/>
          <w:color w:val="000000"/>
          <w:spacing w:val="0"/>
          <w:w w:val="100"/>
          <w:position w:val="0"/>
          <w:sz w:val="32"/>
          <w:szCs w:val="32"/>
          <w:lang w:val="en-US" w:eastAsia="zh-CN"/>
        </w:rPr>
        <w:t>一、</w:t>
      </w:r>
      <w:r>
        <w:rPr>
          <w:color w:val="000000"/>
          <w:spacing w:val="0"/>
          <w:w w:val="100"/>
          <w:position w:val="0"/>
          <w:sz w:val="24"/>
          <w:szCs w:val="24"/>
        </w:rPr>
        <w:tab/>
      </w:r>
      <w:r>
        <w:rPr>
          <w:color w:val="000000"/>
          <w:spacing w:val="0"/>
          <w:w w:val="100"/>
          <w:position w:val="0"/>
          <w:sz w:val="24"/>
          <w:szCs w:val="24"/>
        </w:rPr>
        <w:t>服务内容</w:t>
      </w:r>
    </w:p>
    <w:p w14:paraId="41964869">
      <w:pPr>
        <w:pStyle w:val="12"/>
        <w:keepNext w:val="0"/>
        <w:keepLines w:val="0"/>
        <w:widowControl w:val="0"/>
        <w:shd w:val="clear" w:color="auto" w:fill="auto"/>
        <w:bidi w:val="0"/>
        <w:spacing w:before="0" w:after="0" w:line="311" w:lineRule="exact"/>
        <w:ind w:left="0" w:right="0" w:firstLine="740"/>
        <w:jc w:val="both"/>
        <w:rPr>
          <w:rFonts w:hint="eastAsia" w:eastAsia="宋体"/>
          <w:sz w:val="24"/>
          <w:szCs w:val="24"/>
          <w:lang w:eastAsia="zh-CN"/>
        </w:rPr>
      </w:pPr>
      <w:r>
        <w:rPr>
          <w:color w:val="000000"/>
          <w:spacing w:val="0"/>
          <w:w w:val="100"/>
          <w:position w:val="0"/>
          <w:sz w:val="32"/>
          <w:szCs w:val="32"/>
          <w:lang w:val="en-US" w:eastAsia="en-US" w:bidi="en-US"/>
        </w:rPr>
        <w:t>1.</w:t>
      </w:r>
      <w:r>
        <w:rPr>
          <w:color w:val="000000"/>
          <w:spacing w:val="0"/>
          <w:w w:val="100"/>
          <w:position w:val="0"/>
          <w:sz w:val="32"/>
          <w:szCs w:val="32"/>
        </w:rPr>
        <w:t>1</w:t>
      </w:r>
      <w:r>
        <w:rPr>
          <w:rFonts w:hint="eastAsia"/>
          <w:color w:val="000000"/>
          <w:spacing w:val="0"/>
          <w:w w:val="100"/>
          <w:position w:val="0"/>
          <w:sz w:val="24"/>
          <w:szCs w:val="24"/>
          <w:lang w:eastAsia="zh-CN"/>
        </w:rPr>
        <w:t>主体资格</w:t>
      </w:r>
    </w:p>
    <w:p w14:paraId="5ADD9FA1">
      <w:pPr>
        <w:pStyle w:val="12"/>
        <w:keepNext w:val="0"/>
        <w:keepLines w:val="0"/>
        <w:widowControl w:val="0"/>
        <w:shd w:val="clear" w:color="auto" w:fill="auto"/>
        <w:bidi w:val="0"/>
        <w:spacing w:before="0" w:after="0" w:line="298" w:lineRule="exact"/>
        <w:ind w:left="0" w:right="0" w:firstLine="740"/>
        <w:jc w:val="both"/>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乙方具备危险废物安全处理的能力及相关设施，并具有环境保护行政主管总站许可的危险废物处理的相关资质</w:t>
      </w:r>
    </w:p>
    <w:p w14:paraId="0C1D1046">
      <w:pPr>
        <w:pStyle w:val="12"/>
        <w:keepNext w:val="0"/>
        <w:keepLines w:val="0"/>
        <w:widowControl w:val="0"/>
        <w:shd w:val="clear" w:color="auto" w:fill="auto"/>
        <w:bidi w:val="0"/>
        <w:spacing w:before="0" w:after="0" w:line="298" w:lineRule="exact"/>
        <w:ind w:left="0" w:right="0" w:firstLine="740"/>
        <w:jc w:val="both"/>
        <w:rPr>
          <w:rFonts w:hint="eastAsia" w:eastAsia="宋体"/>
          <w:sz w:val="24"/>
          <w:szCs w:val="24"/>
          <w:lang w:eastAsia="zh-CN"/>
        </w:rPr>
      </w:pPr>
      <w:r>
        <w:rPr>
          <w:color w:val="000000"/>
          <w:spacing w:val="0"/>
          <w:w w:val="100"/>
          <w:position w:val="0"/>
          <w:sz w:val="32"/>
          <w:szCs w:val="32"/>
          <w:lang w:val="en-US" w:eastAsia="en-US" w:bidi="en-US"/>
        </w:rPr>
        <w:t>1.</w:t>
      </w:r>
      <w:r>
        <w:rPr>
          <w:rFonts w:hint="eastAsia"/>
          <w:color w:val="000000"/>
          <w:spacing w:val="0"/>
          <w:w w:val="100"/>
          <w:position w:val="0"/>
          <w:sz w:val="32"/>
          <w:szCs w:val="32"/>
          <w:lang w:val="en-US" w:eastAsia="zh-CN" w:bidi="en-US"/>
        </w:rPr>
        <w:t>2</w:t>
      </w:r>
      <w:r>
        <w:rPr>
          <w:rFonts w:hint="eastAsia"/>
          <w:color w:val="000000"/>
          <w:spacing w:val="0"/>
          <w:w w:val="100"/>
          <w:position w:val="0"/>
          <w:sz w:val="24"/>
          <w:szCs w:val="24"/>
          <w:lang w:eastAsia="zh-CN"/>
        </w:rPr>
        <w:t>危险废物处理内容及方式</w:t>
      </w:r>
    </w:p>
    <w:p w14:paraId="1F3DFB2D">
      <w:pPr>
        <w:keepNext w:val="0"/>
        <w:keepLines w:val="0"/>
        <w:widowControl/>
        <w:suppressLineNumbers w:val="0"/>
        <w:ind w:firstLine="640" w:firstLineChars="200"/>
        <w:jc w:val="left"/>
        <w:rPr>
          <w:rFonts w:hint="eastAsia"/>
          <w:color w:val="000000"/>
          <w:spacing w:val="0"/>
          <w:w w:val="100"/>
          <w:position w:val="0"/>
          <w:sz w:val="32"/>
          <w:szCs w:val="32"/>
          <w:lang w:val="en-US" w:eastAsia="zh-CN" w:bidi="en-US"/>
        </w:rPr>
      </w:pPr>
      <w:r>
        <w:rPr>
          <w:rFonts w:hint="eastAsia"/>
          <w:color w:val="000000"/>
          <w:spacing w:val="0"/>
          <w:w w:val="100"/>
          <w:position w:val="0"/>
          <w:sz w:val="32"/>
          <w:szCs w:val="32"/>
          <w:lang w:val="en-US" w:eastAsia="zh-CN" w:bidi="en-US"/>
        </w:rPr>
        <w:t>1.2.1危险废物名称：</w:t>
      </w:r>
      <w:r>
        <w:rPr>
          <w:rFonts w:hint="eastAsia" w:ascii="宋体" w:hAnsi="宋体" w:eastAsia="宋体" w:cs="宋体"/>
          <w:color w:val="000000"/>
          <w:spacing w:val="0"/>
          <w:w w:val="100"/>
          <w:position w:val="0"/>
          <w:sz w:val="24"/>
          <w:szCs w:val="24"/>
          <w:u w:val="none"/>
          <w:shd w:val="clear" w:color="auto" w:fill="auto"/>
          <w:lang w:val="zh-TW" w:eastAsia="zh-CN" w:bidi="zh-TW"/>
        </w:rPr>
        <w:t>高沸物HW02医药废物</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271-001-02</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沉降污泥HW02医药废物</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271-002-02</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废产品HW02医药废物</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271-005-02</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废有机溶剂HW06废有机溶剂与含有机溶剂废物</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900-404-06</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废机油HW08废矿物油与含矿物油废物</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900-217-08</w:t>
      </w:r>
      <w:r>
        <w:rPr>
          <w:rFonts w:hint="eastAsia" w:ascii="宋体" w:hAnsi="宋体" w:eastAsia="宋体" w:cs="宋体"/>
          <w:color w:val="000000"/>
          <w:spacing w:val="0"/>
          <w:w w:val="100"/>
          <w:position w:val="0"/>
          <w:sz w:val="24"/>
          <w:szCs w:val="24"/>
          <w:u w:val="none"/>
          <w:shd w:val="clear" w:color="auto" w:fill="auto"/>
          <w:lang w:val="en-US" w:eastAsia="zh-CN" w:bidi="zh-TW"/>
        </w:rPr>
        <w:t>），废活性炭</w:t>
      </w:r>
      <w:r>
        <w:rPr>
          <w:rFonts w:hint="eastAsia" w:ascii="宋体" w:hAnsi="宋体" w:eastAsia="宋体" w:cs="宋体"/>
          <w:color w:val="000000"/>
          <w:spacing w:val="0"/>
          <w:w w:val="100"/>
          <w:position w:val="0"/>
          <w:sz w:val="24"/>
          <w:szCs w:val="24"/>
          <w:u w:val="none"/>
          <w:shd w:val="clear" w:color="auto" w:fill="auto"/>
          <w:lang w:val="zh-TW" w:eastAsia="zh-CN" w:bidi="zh-TW"/>
        </w:rPr>
        <w:t>HW49其他废物</w:t>
      </w:r>
      <w:r>
        <w:rPr>
          <w:rFonts w:hint="eastAsia" w:ascii="宋体" w:hAnsi="宋体" w:eastAsia="宋体" w:cs="宋体"/>
          <w:color w:val="000000"/>
          <w:spacing w:val="0"/>
          <w:w w:val="100"/>
          <w:position w:val="0"/>
          <w:sz w:val="24"/>
          <w:szCs w:val="24"/>
          <w:u w:val="none"/>
          <w:shd w:val="clear" w:color="auto" w:fill="auto"/>
          <w:lang w:val="en-US" w:eastAsia="zh-CN" w:bidi="zh-TW"/>
        </w:rPr>
        <w:t>（900-039-49），</w:t>
      </w:r>
      <w:r>
        <w:rPr>
          <w:rFonts w:hint="eastAsia" w:ascii="宋体" w:hAnsi="宋体" w:eastAsia="宋体" w:cs="宋体"/>
          <w:color w:val="000000"/>
          <w:spacing w:val="0"/>
          <w:w w:val="100"/>
          <w:position w:val="0"/>
          <w:sz w:val="24"/>
          <w:szCs w:val="24"/>
          <w:u w:val="none"/>
          <w:shd w:val="clear" w:color="auto" w:fill="auto"/>
          <w:lang w:val="zh-TW" w:eastAsia="zh-CN" w:bidi="zh-TW"/>
        </w:rPr>
        <w:t>废包装HW49其他废物</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900-041-49</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在线监测COD废液HW49其他废物</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900-047-49</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在线监测氨氮废液HW49其他废物</w:t>
      </w:r>
      <w:r>
        <w:rPr>
          <w:rFonts w:hint="eastAsia" w:ascii="宋体" w:hAnsi="宋体" w:eastAsia="宋体"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CN" w:bidi="zh-TW"/>
        </w:rPr>
        <w:t>900-047-49</w:t>
      </w:r>
      <w:r>
        <w:rPr>
          <w:rFonts w:hint="eastAsia" w:ascii="宋体" w:hAnsi="宋体" w:eastAsia="宋体" w:cs="宋体"/>
          <w:color w:val="000000"/>
          <w:spacing w:val="0"/>
          <w:w w:val="100"/>
          <w:position w:val="0"/>
          <w:sz w:val="24"/>
          <w:szCs w:val="24"/>
          <w:u w:val="none"/>
          <w:shd w:val="clear" w:color="auto" w:fill="auto"/>
          <w:lang w:val="en-US" w:eastAsia="zh-CN" w:bidi="zh-TW"/>
        </w:rPr>
        <w:t>）</w:t>
      </w:r>
    </w:p>
    <w:p w14:paraId="229013B5">
      <w:pPr>
        <w:pStyle w:val="4"/>
        <w:spacing w:before="49"/>
        <w:ind w:firstLine="640" w:firstLineChars="200"/>
        <w:jc w:val="both"/>
        <w:rPr>
          <w:rFonts w:hint="eastAsia"/>
          <w:color w:val="000000"/>
          <w:spacing w:val="0"/>
          <w:w w:val="100"/>
          <w:position w:val="0"/>
          <w:sz w:val="28"/>
          <w:szCs w:val="28"/>
          <w:lang w:eastAsia="zh-CN"/>
        </w:rPr>
      </w:pPr>
      <w:r>
        <w:rPr>
          <w:color w:val="000000"/>
          <w:spacing w:val="0"/>
          <w:w w:val="100"/>
          <w:position w:val="0"/>
          <w:sz w:val="32"/>
          <w:szCs w:val="32"/>
          <w:lang w:val="en-US" w:eastAsia="en-US" w:bidi="en-US"/>
        </w:rPr>
        <w:t>1.</w:t>
      </w:r>
      <w:r>
        <w:rPr>
          <w:rFonts w:hint="eastAsia"/>
          <w:color w:val="000000"/>
          <w:spacing w:val="0"/>
          <w:w w:val="100"/>
          <w:position w:val="0"/>
          <w:sz w:val="32"/>
          <w:szCs w:val="32"/>
          <w:lang w:val="en-US" w:eastAsia="zh-CN" w:bidi="en-US"/>
        </w:rPr>
        <w:t>2.2</w:t>
      </w:r>
      <w:r>
        <w:rPr>
          <w:rFonts w:hint="eastAsia"/>
          <w:color w:val="000000"/>
          <w:spacing w:val="0"/>
          <w:w w:val="100"/>
          <w:position w:val="0"/>
          <w:sz w:val="28"/>
          <w:szCs w:val="28"/>
          <w:lang w:eastAsia="zh-CN"/>
        </w:rPr>
        <w:t>危险废物形态：固</w:t>
      </w:r>
      <w:r>
        <w:rPr>
          <w:rFonts w:hint="eastAsia"/>
          <w:color w:val="000000"/>
          <w:spacing w:val="0"/>
          <w:w w:val="100"/>
          <w:position w:val="0"/>
          <w:sz w:val="28"/>
          <w:szCs w:val="28"/>
          <w:lang w:val="en-US" w:eastAsia="zh-CN"/>
        </w:rPr>
        <w:t>/液</w:t>
      </w:r>
      <w:r>
        <w:rPr>
          <w:rFonts w:hint="eastAsia"/>
          <w:color w:val="000000"/>
          <w:spacing w:val="0"/>
          <w:w w:val="100"/>
          <w:position w:val="0"/>
          <w:sz w:val="28"/>
          <w:szCs w:val="28"/>
          <w:lang w:eastAsia="zh-CN"/>
        </w:rPr>
        <w:t>态。</w:t>
      </w:r>
    </w:p>
    <w:p w14:paraId="7607C95F">
      <w:pPr>
        <w:pStyle w:val="4"/>
        <w:spacing w:before="49"/>
        <w:ind w:firstLine="640" w:firstLineChars="200"/>
        <w:jc w:val="both"/>
        <w:rPr>
          <w:rFonts w:hint="default"/>
          <w:color w:val="000000"/>
          <w:spacing w:val="0"/>
          <w:w w:val="100"/>
          <w:position w:val="0"/>
          <w:sz w:val="28"/>
          <w:szCs w:val="28"/>
          <w:lang w:val="en-US" w:eastAsia="zh-CN"/>
        </w:rPr>
      </w:pPr>
      <w:r>
        <w:rPr>
          <w:rFonts w:hint="eastAsia"/>
          <w:color w:val="000000"/>
          <w:spacing w:val="0"/>
          <w:w w:val="100"/>
          <w:position w:val="0"/>
          <w:sz w:val="32"/>
          <w:szCs w:val="32"/>
          <w:lang w:val="en-US" w:eastAsia="zh-CN" w:bidi="en-US"/>
        </w:rPr>
        <w:t>1.2.3</w:t>
      </w:r>
      <w:r>
        <w:rPr>
          <w:rFonts w:hint="eastAsia"/>
          <w:color w:val="000000"/>
          <w:spacing w:val="0"/>
          <w:w w:val="100"/>
          <w:position w:val="0"/>
          <w:sz w:val="28"/>
          <w:szCs w:val="28"/>
          <w:lang w:val="en-US" w:eastAsia="zh-CN"/>
        </w:rPr>
        <w:t>危险废物重量：以实际转运计重为准。</w:t>
      </w:r>
    </w:p>
    <w:p w14:paraId="173AF1A2">
      <w:pPr>
        <w:pStyle w:val="4"/>
        <w:numPr>
          <w:ilvl w:val="0"/>
          <w:numId w:val="0"/>
        </w:numPr>
        <w:spacing w:before="132" w:line="355" w:lineRule="auto"/>
        <w:ind w:right="205" w:rightChars="0" w:firstLine="816" w:firstLineChars="300"/>
        <w:jc w:val="both"/>
        <w:rPr>
          <w:rFonts w:hint="eastAsia"/>
          <w:spacing w:val="-8"/>
          <w:sz w:val="28"/>
          <w:szCs w:val="28"/>
          <w:lang w:eastAsia="zh-CN"/>
        </w:rPr>
      </w:pPr>
      <w:r>
        <w:rPr>
          <w:rFonts w:hint="eastAsia"/>
          <w:spacing w:val="-4"/>
          <w:sz w:val="28"/>
          <w:szCs w:val="28"/>
          <w:lang w:val="en-US" w:eastAsia="zh-CN"/>
        </w:rPr>
        <w:t>二、服务</w:t>
      </w:r>
      <w:r>
        <w:rPr>
          <w:spacing w:val="-4"/>
          <w:sz w:val="28"/>
          <w:szCs w:val="28"/>
        </w:rPr>
        <w:t>期：</w:t>
      </w:r>
      <w:r>
        <w:rPr>
          <w:rFonts w:hint="eastAsia"/>
          <w:spacing w:val="-4"/>
          <w:sz w:val="28"/>
          <w:szCs w:val="28"/>
          <w:lang w:val="en-US" w:eastAsia="zh-CN"/>
        </w:rPr>
        <w:t>为合同签订之日起36个月</w:t>
      </w:r>
      <w:r>
        <w:rPr>
          <w:spacing w:val="-8"/>
          <w:sz w:val="28"/>
          <w:szCs w:val="28"/>
        </w:rPr>
        <w:t>。</w:t>
      </w:r>
    </w:p>
    <w:p w14:paraId="5261729F">
      <w:pPr>
        <w:pStyle w:val="4"/>
        <w:numPr>
          <w:ilvl w:val="0"/>
          <w:numId w:val="0"/>
        </w:numPr>
        <w:spacing w:line="357" w:lineRule="auto"/>
        <w:ind w:right="203" w:rightChars="0"/>
        <w:jc w:val="both"/>
        <w:rPr>
          <w:rFonts w:hint="eastAsia"/>
          <w:spacing w:val="-5"/>
          <w:sz w:val="28"/>
          <w:szCs w:val="28"/>
          <w:lang w:eastAsia="zh-CN"/>
        </w:rPr>
      </w:pPr>
      <w:r>
        <w:rPr>
          <w:rFonts w:hint="eastAsia"/>
          <w:spacing w:val="-2"/>
          <w:sz w:val="28"/>
          <w:szCs w:val="28"/>
          <w:lang w:val="en-US" w:eastAsia="zh-CN"/>
        </w:rPr>
        <w:t xml:space="preserve">      三、 服务</w:t>
      </w:r>
      <w:r>
        <w:rPr>
          <w:spacing w:val="-2"/>
          <w:sz w:val="28"/>
          <w:szCs w:val="28"/>
        </w:rPr>
        <w:t xml:space="preserve">地点：湖北省钟祥市经济开发区西环三路 </w:t>
      </w:r>
      <w:r>
        <w:rPr>
          <w:sz w:val="28"/>
          <w:szCs w:val="28"/>
        </w:rPr>
        <w:t>21</w:t>
      </w:r>
      <w:r>
        <w:rPr>
          <w:spacing w:val="-5"/>
          <w:sz w:val="28"/>
          <w:szCs w:val="28"/>
        </w:rPr>
        <w:t xml:space="preserve"> 号——湖北华丹医药科技股份有限公司。</w:t>
      </w:r>
    </w:p>
    <w:p w14:paraId="580A5CE2">
      <w:pPr>
        <w:pStyle w:val="4"/>
        <w:numPr>
          <w:ilvl w:val="0"/>
          <w:numId w:val="0"/>
        </w:numPr>
        <w:spacing w:line="357" w:lineRule="auto"/>
        <w:ind w:right="203" w:rightChars="0" w:firstLine="828" w:firstLineChars="300"/>
        <w:jc w:val="both"/>
        <w:rPr>
          <w:spacing w:val="-2"/>
          <w:sz w:val="28"/>
          <w:szCs w:val="28"/>
        </w:rPr>
      </w:pPr>
      <w:r>
        <w:rPr>
          <w:rFonts w:hint="eastAsia"/>
          <w:spacing w:val="-2"/>
          <w:sz w:val="28"/>
          <w:szCs w:val="28"/>
          <w:lang w:val="en-US" w:eastAsia="zh-CN"/>
        </w:rPr>
        <w:t>四、</w:t>
      </w:r>
      <w:r>
        <w:rPr>
          <w:spacing w:val="-2"/>
          <w:sz w:val="28"/>
          <w:szCs w:val="28"/>
        </w:rPr>
        <w:t>价款：该价格是包干价，包含了</w:t>
      </w:r>
      <w:r>
        <w:rPr>
          <w:rFonts w:hint="eastAsia"/>
          <w:spacing w:val="-2"/>
          <w:sz w:val="28"/>
          <w:szCs w:val="28"/>
          <w:lang w:val="en-US" w:eastAsia="zh-CN"/>
        </w:rPr>
        <w:t>完成本项目的人力成本、设备成本、交通费、管理费、利润、税金等在内的完成本项目所需的全部费用</w:t>
      </w:r>
      <w:r>
        <w:rPr>
          <w:spacing w:val="-2"/>
          <w:sz w:val="28"/>
          <w:szCs w:val="28"/>
        </w:rPr>
        <w:t>内容。乙方如在投标报价中有掉项漏项的，</w:t>
      </w:r>
      <w:r>
        <w:rPr>
          <w:rFonts w:hint="eastAsia"/>
          <w:spacing w:val="-2"/>
          <w:sz w:val="28"/>
          <w:szCs w:val="28"/>
          <w:lang w:val="en-US" w:eastAsia="zh-CN"/>
        </w:rPr>
        <w:t>采购人将视为该漏报或不报部分的费用已包括在已报的分项报价中而不予支付</w:t>
      </w:r>
      <w:r>
        <w:rPr>
          <w:spacing w:val="-2"/>
          <w:sz w:val="28"/>
          <w:szCs w:val="28"/>
        </w:rPr>
        <w:t>。</w:t>
      </w:r>
    </w:p>
    <w:p w14:paraId="75CE364C">
      <w:pPr>
        <w:pStyle w:val="4"/>
        <w:numPr>
          <w:ilvl w:val="0"/>
          <w:numId w:val="0"/>
        </w:numPr>
        <w:spacing w:before="132" w:line="355" w:lineRule="auto"/>
        <w:ind w:right="205" w:rightChars="0" w:firstLine="560" w:firstLineChars="200"/>
        <w:jc w:val="both"/>
        <w:rPr>
          <w:rFonts w:hint="default"/>
          <w:spacing w:val="-4"/>
          <w:lang w:val="en-US"/>
        </w:rPr>
      </w:pPr>
      <w:r>
        <w:rPr>
          <w:rFonts w:hint="eastAsia"/>
          <w:sz w:val="28"/>
          <w:szCs w:val="28"/>
          <w:lang w:val="en-US" w:eastAsia="zh-CN"/>
        </w:rPr>
        <w:t>五</w:t>
      </w:r>
      <w:r>
        <w:rPr>
          <w:sz w:val="28"/>
          <w:szCs w:val="28"/>
        </w:rPr>
        <w:t>、付款方式</w:t>
      </w:r>
      <w:r>
        <w:rPr>
          <w:rFonts w:hint="eastAsia"/>
          <w:sz w:val="28"/>
          <w:szCs w:val="28"/>
          <w:lang w:eastAsia="zh-CN"/>
        </w:rPr>
        <w:t>：甲方办理行政转移审批结束后开始转运，危险废物转移完毕后，乙方开具危险废物处置费用专用发票，甲方收到乙方发票</w:t>
      </w:r>
      <w:r>
        <w:rPr>
          <w:rFonts w:hint="eastAsia"/>
          <w:sz w:val="28"/>
          <w:szCs w:val="28"/>
          <w:lang w:val="en-US" w:eastAsia="zh-CN"/>
        </w:rPr>
        <w:t>15个工作日内，一次性支付该批次全部处理费用。</w:t>
      </w:r>
    </w:p>
    <w:p w14:paraId="25E96E73">
      <w:pPr>
        <w:spacing w:before="0"/>
        <w:ind w:right="205" w:firstLine="3648" w:firstLineChars="1200"/>
        <w:jc w:val="both"/>
        <w:rPr>
          <w:rFonts w:hint="eastAsia" w:eastAsia="宋体"/>
          <w:w w:val="95"/>
          <w:sz w:val="32"/>
          <w:lang w:eastAsia="zh-CN"/>
        </w:rPr>
      </w:pPr>
      <w:r>
        <w:rPr>
          <w:w w:val="95"/>
          <w:sz w:val="32"/>
        </w:rPr>
        <w:t>湖北华丹医药科技股份有限公司</w:t>
      </w:r>
      <w:r>
        <w:rPr>
          <w:rFonts w:hint="eastAsia"/>
          <w:w w:val="95"/>
          <w:sz w:val="32"/>
          <w:lang w:eastAsia="zh-CN"/>
        </w:rPr>
        <w:t>安环部</w:t>
      </w:r>
    </w:p>
    <w:p w14:paraId="03FD10FC">
      <w:pPr>
        <w:spacing w:before="0"/>
        <w:ind w:left="0" w:right="205" w:firstLine="5472" w:firstLineChars="1800"/>
        <w:jc w:val="both"/>
        <w:rPr>
          <w:rFonts w:hint="default"/>
          <w:spacing w:val="-4"/>
          <w:lang w:val="en-US" w:eastAsia="zh-CN"/>
        </w:rPr>
        <w:sectPr>
          <w:pgSz w:w="11910" w:h="16840"/>
          <w:pgMar w:top="1060" w:right="860" w:bottom="1160" w:left="1500" w:header="0" w:footer="979" w:gutter="0"/>
          <w:cols w:space="720" w:num="1"/>
        </w:sectPr>
      </w:pPr>
      <w:r>
        <w:rPr>
          <w:rFonts w:hint="eastAsia"/>
          <w:w w:val="95"/>
          <w:sz w:val="32"/>
          <w:lang w:val="en-US" w:eastAsia="zh-CN"/>
        </w:rPr>
        <w:t>2025年6月24日</w:t>
      </w:r>
    </w:p>
    <w:p w14:paraId="66C79BDD">
      <w:pPr>
        <w:wordWrap w:val="0"/>
        <w:spacing w:before="0"/>
        <w:ind w:left="0" w:right="205" w:firstLine="0"/>
        <w:jc w:val="both"/>
        <w:rPr>
          <w:rFonts w:hint="eastAsia"/>
          <w:w w:val="95"/>
          <w:sz w:val="32"/>
          <w:lang w:val="en-US" w:eastAsia="zh-CN"/>
        </w:rPr>
      </w:pPr>
      <w:r>
        <w:rPr>
          <w:rFonts w:hint="eastAsia"/>
          <w:w w:val="95"/>
          <w:sz w:val="32"/>
          <w:lang w:val="en-US" w:eastAsia="zh-CN"/>
        </w:rPr>
        <w:t>附件：危险废物处置项目清单</w:t>
      </w:r>
    </w:p>
    <w:p w14:paraId="6B2A5589">
      <w:pPr>
        <w:wordWrap w:val="0"/>
        <w:spacing w:before="0"/>
        <w:ind w:left="0" w:right="205" w:firstLine="0"/>
        <w:jc w:val="both"/>
        <w:rPr>
          <w:rFonts w:hint="default"/>
          <w:w w:val="95"/>
          <w:sz w:val="32"/>
          <w:lang w:val="en-US" w:eastAsia="zh-CN"/>
        </w:rPr>
      </w:pPr>
      <w:r>
        <w:drawing>
          <wp:inline distT="0" distB="0" distL="114300" distR="114300">
            <wp:extent cx="6054725" cy="2934335"/>
            <wp:effectExtent l="0" t="0" r="317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054725" cy="2934335"/>
                    </a:xfrm>
                    <a:prstGeom prst="rect">
                      <a:avLst/>
                    </a:prstGeom>
                    <a:noFill/>
                    <a:ln>
                      <a:noFill/>
                    </a:ln>
                  </pic:spPr>
                </pic:pic>
              </a:graphicData>
            </a:graphic>
          </wp:inline>
        </w:drawing>
      </w:r>
    </w:p>
    <w:sectPr>
      <w:footerReference r:id="rId6" w:type="default"/>
      <w:pgSz w:w="11910" w:h="16840"/>
      <w:pgMar w:top="680" w:right="860" w:bottom="838" w:left="1500" w:header="0" w:footer="9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752F">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4D4BD">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1E14D4B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4DAF">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41C85D">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2B41C85D">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zYzZmU2ZGY0N2UwYjU4MDNiOTcwZDI2MGEzZDcifQ=="/>
  </w:docVars>
  <w:rsids>
    <w:rsidRoot w:val="00000000"/>
    <w:rsid w:val="010C7C42"/>
    <w:rsid w:val="07CC1027"/>
    <w:rsid w:val="124479AD"/>
    <w:rsid w:val="12AD5B43"/>
    <w:rsid w:val="13E16FD6"/>
    <w:rsid w:val="154E6168"/>
    <w:rsid w:val="162D6E4A"/>
    <w:rsid w:val="3DBA6437"/>
    <w:rsid w:val="3FD16F41"/>
    <w:rsid w:val="61714A74"/>
    <w:rsid w:val="6264566E"/>
    <w:rsid w:val="650D3CB3"/>
    <w:rsid w:val="6DC83AAA"/>
    <w:rsid w:val="751612FC"/>
    <w:rsid w:val="77CC4466"/>
    <w:rsid w:val="7BE46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14"/>
      <w:ind w:left="619"/>
      <w:outlineLvl w:val="0"/>
    </w:pPr>
    <w:rPr>
      <w:rFonts w:ascii="宋体" w:hAnsi="宋体" w:eastAsia="宋体" w:cs="宋体"/>
      <w:b/>
      <w:bCs/>
      <w:sz w:val="32"/>
      <w:szCs w:val="32"/>
      <w:lang w:val="zh-CN" w:eastAsia="zh-CN" w:bidi="zh-CN"/>
    </w:rPr>
  </w:style>
  <w:style w:type="paragraph" w:styleId="3">
    <w:name w:val="heading 2"/>
    <w:basedOn w:val="1"/>
    <w:next w:val="1"/>
    <w:qFormat/>
    <w:uiPriority w:val="1"/>
    <w:pPr>
      <w:outlineLvl w:val="1"/>
    </w:pPr>
    <w:rPr>
      <w:rFonts w:ascii="宋体" w:hAnsi="宋体" w:eastAsia="宋体" w:cs="宋体"/>
      <w:sz w:val="32"/>
      <w:szCs w:val="32"/>
      <w:lang w:val="zh-CN" w:eastAsia="zh-CN" w:bidi="zh-CN"/>
    </w:rPr>
  </w:style>
  <w:style w:type="character" w:default="1" w:styleId="8">
    <w:name w:val="Default Paragraph Font"/>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72"/>
      <w:ind w:left="1980" w:hanging="780"/>
    </w:pPr>
    <w:rPr>
      <w:rFonts w:ascii="宋体" w:hAnsi="宋体" w:eastAsia="宋体" w:cs="宋体"/>
      <w:lang w:val="zh-CN" w:eastAsia="zh-CN" w:bidi="zh-CN"/>
    </w:rPr>
  </w:style>
  <w:style w:type="paragraph" w:customStyle="1" w:styleId="11">
    <w:name w:val="Table Paragraph"/>
    <w:basedOn w:val="1"/>
    <w:qFormat/>
    <w:uiPriority w:val="1"/>
    <w:pPr>
      <w:ind w:left="115"/>
    </w:pPr>
    <w:rPr>
      <w:rFonts w:ascii="宋体" w:hAnsi="宋体" w:eastAsia="宋体" w:cs="宋体"/>
      <w:lang w:val="zh-CN" w:eastAsia="zh-CN" w:bidi="zh-CN"/>
    </w:rPr>
  </w:style>
  <w:style w:type="paragraph" w:customStyle="1" w:styleId="12">
    <w:name w:val="Body text|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 w:type="paragraph" w:customStyle="1" w:styleId="13">
    <w:name w:val="Heading #3|1"/>
    <w:basedOn w:val="1"/>
    <w:qFormat/>
    <w:uiPriority w:val="0"/>
    <w:pPr>
      <w:widowControl w:val="0"/>
      <w:shd w:val="clear" w:color="auto" w:fill="auto"/>
      <w:ind w:right="710"/>
      <w:jc w:val="center"/>
      <w:outlineLvl w:val="2"/>
    </w:pPr>
    <w:rPr>
      <w:rFonts w:ascii="宋体" w:hAnsi="宋体" w:eastAsia="宋体" w:cs="宋体"/>
      <w:sz w:val="26"/>
      <w:szCs w:val="26"/>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2515</Words>
  <Characters>2809</Characters>
  <TotalTime>1188</TotalTime>
  <ScaleCrop>false</ScaleCrop>
  <LinksUpToDate>false</LinksUpToDate>
  <CharactersWithSpaces>2884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2021-11-25T00:13:00Z</dcterms:created>
  <dc:creator>微软用户</dc:creator>
  <cp:lastModifiedBy>僵小鱼</cp:lastModifiedBy>
  <cp:lastPrinted>2024-06-04T02:57:00Z</cp:lastPrinted>
  <dcterms:modified xsi:type="dcterms:W3CDTF">2025-06-24T01:09:01Z</dcterms:modified>
  <dc:title>厂房及净化工程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2021-11-25T00:00:00Z</vt:filetime>
  </property>
  <property fmtid="{D5CDD505-2E9C-101B-9397-08002B2CF9AE}" pid="5" name="KSOProductBuildVer">
    <vt:lpwstr>2052-12.1.0.21541</vt:lpwstr>
  </property>
  <property fmtid="{D5CDD505-2E9C-101B-9397-08002B2CF9AE}" pid="6" name="ICV">
    <vt:lpwstr>FA88547AEBD94231973E84B8175043C4_13</vt:lpwstr>
  </property>
  <property fmtid="{D5CDD505-2E9C-101B-9397-08002B2CF9AE}" pid="7" name="KSOTemplateDocerSaveRecord">
    <vt:lpwstr>eyJoZGlkIjoiYzUxNDZkYjJkNGMzNjNmMjIzMzVjNDlkZGRlY2ZkZmYiLCJ1c2VySWQiOiI1MzcxNzI3NzQifQ==</vt:lpwstr>
  </property>
</Properties>
</file>